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4119" w14:textId="77777777" w:rsidR="00460C9C" w:rsidRDefault="00460C9C" w:rsidP="00BA3697">
      <w:pPr>
        <w:pStyle w:val="Heading1"/>
        <w:spacing w:line="360" w:lineRule="auto"/>
        <w:rPr>
          <w:rFonts w:ascii="Calibri" w:hAnsi="Calibri" w:cs="Calibri"/>
        </w:rPr>
      </w:pPr>
      <w:bookmarkStart w:id="0" w:name="_Toc325015422"/>
      <w:bookmarkStart w:id="1" w:name="_Toc325044381"/>
      <w:bookmarkStart w:id="2" w:name="_Toc325045287"/>
      <w:bookmarkStart w:id="3" w:name="_Toc498957006"/>
      <w:bookmarkStart w:id="4" w:name="_GoBack"/>
      <w:bookmarkEnd w:id="4"/>
    </w:p>
    <w:p w14:paraId="55CEE9CA" w14:textId="4DCA427B" w:rsidR="00BA3697" w:rsidRPr="0002753E" w:rsidRDefault="00BA3697" w:rsidP="00BA3697">
      <w:pPr>
        <w:pStyle w:val="Heading1"/>
        <w:spacing w:line="360" w:lineRule="auto"/>
        <w:rPr>
          <w:rFonts w:ascii="Calibri" w:hAnsi="Calibri" w:cs="Calibri"/>
        </w:rPr>
      </w:pPr>
      <w:r w:rsidRPr="0002753E">
        <w:rPr>
          <w:rFonts w:ascii="Calibri" w:hAnsi="Calibri" w:cs="Calibri"/>
        </w:rPr>
        <w:t>Part 2</w:t>
      </w:r>
      <w:bookmarkEnd w:id="0"/>
      <w:bookmarkEnd w:id="1"/>
      <w:bookmarkEnd w:id="2"/>
      <w:r w:rsidRPr="0002753E">
        <w:rPr>
          <w:rFonts w:ascii="Calibri" w:hAnsi="Calibri" w:cs="Calibri"/>
        </w:rPr>
        <w:t xml:space="preserve">: </w:t>
      </w:r>
      <w:bookmarkStart w:id="5" w:name="_Toc325015423"/>
      <w:bookmarkStart w:id="6" w:name="_Toc325043905"/>
      <w:bookmarkStart w:id="7" w:name="_Toc325044382"/>
      <w:bookmarkStart w:id="8" w:name="_Toc325045288"/>
      <w:r w:rsidRPr="0002753E">
        <w:rPr>
          <w:rFonts w:ascii="Calibri" w:hAnsi="Calibri" w:cs="Calibri"/>
        </w:rPr>
        <w:t>Guidelines for disputes about eligibility</w:t>
      </w:r>
      <w:bookmarkEnd w:id="3"/>
      <w:bookmarkEnd w:id="5"/>
      <w:bookmarkEnd w:id="6"/>
      <w:bookmarkEnd w:id="7"/>
      <w:bookmarkEnd w:id="8"/>
      <w:r w:rsidRPr="0002753E">
        <w:rPr>
          <w:rFonts w:ascii="Calibri" w:hAnsi="Calibri" w:cs="Calibri"/>
        </w:rPr>
        <w:t xml:space="preserve">      </w:t>
      </w:r>
    </w:p>
    <w:p w14:paraId="7DEBD8F9" w14:textId="77777777" w:rsidR="00BA3697" w:rsidRPr="0002753E" w:rsidRDefault="00BA3697" w:rsidP="00BA3697">
      <w:pPr>
        <w:widowControl w:val="0"/>
        <w:autoSpaceDE w:val="0"/>
        <w:autoSpaceDN w:val="0"/>
        <w:snapToGrid/>
        <w:spacing w:line="360" w:lineRule="auto"/>
        <w:outlineLvl w:val="2"/>
        <w:rPr>
          <w:rFonts w:ascii="Calibri" w:eastAsia="Times New Roman" w:hAnsi="Calibri" w:cs="Calibri"/>
          <w:b/>
          <w:sz w:val="22"/>
          <w:szCs w:val="22"/>
          <w:lang w:eastAsia="en-AU"/>
        </w:rPr>
      </w:pPr>
      <w:bookmarkStart w:id="9" w:name="_Toc325043906"/>
      <w:bookmarkStart w:id="10" w:name="_Toc325044383"/>
    </w:p>
    <w:bookmarkEnd w:id="9"/>
    <w:bookmarkEnd w:id="10"/>
    <w:p w14:paraId="5BEFCC8E"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This Part of the </w:t>
      </w:r>
      <w:r w:rsidRPr="0002753E">
        <w:rPr>
          <w:rFonts w:ascii="Calibri" w:eastAsia="Times New Roman" w:hAnsi="Calibri" w:cs="Calibri"/>
          <w:sz w:val="22"/>
          <w:szCs w:val="22"/>
        </w:rPr>
        <w:t>Lifetime Care and Support Guidelines (the Guidelines)</w:t>
      </w:r>
      <w:r w:rsidRPr="0002753E">
        <w:rPr>
          <w:rFonts w:ascii="Calibri" w:eastAsia="Times New Roman" w:hAnsi="Calibri" w:cs="Calibri"/>
          <w:sz w:val="22"/>
          <w:szCs w:val="22"/>
          <w:lang w:eastAsia="en-AU"/>
        </w:rPr>
        <w:t xml:space="preserve"> is issued under section 58 of the </w:t>
      </w:r>
      <w:r w:rsidRPr="0002753E">
        <w:rPr>
          <w:rFonts w:ascii="Calibri" w:eastAsia="Times New Roman" w:hAnsi="Calibri" w:cs="Calibri"/>
          <w:i/>
          <w:sz w:val="22"/>
          <w:szCs w:val="22"/>
        </w:rPr>
        <w:t>Motor Accidents (Lifetime Care and Support) Act 2006</w:t>
      </w:r>
      <w:r w:rsidRPr="0002753E">
        <w:rPr>
          <w:rFonts w:ascii="Calibri" w:eastAsia="Times New Roman" w:hAnsi="Calibri" w:cs="Calibri"/>
          <w:sz w:val="22"/>
          <w:szCs w:val="22"/>
          <w:lang w:eastAsia="en-AU"/>
        </w:rPr>
        <w:t xml:space="preserve"> (the Act) and applies to disputes about eligibility under Part 3, Division 1 of the Act. </w:t>
      </w:r>
    </w:p>
    <w:p w14:paraId="1987466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 </w:t>
      </w:r>
    </w:p>
    <w:p w14:paraId="75A540BF"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To avoid requirements that might be unreasonable in the circumstances on any injured person</w:t>
      </w:r>
      <w:r w:rsidR="008525FB">
        <w:rPr>
          <w:rFonts w:ascii="Calibri" w:eastAsia="Times New Roman" w:hAnsi="Calibri" w:cs="Calibri"/>
          <w:sz w:val="22"/>
          <w:szCs w:val="22"/>
          <w:lang w:eastAsia="en-AU"/>
        </w:rPr>
        <w:t xml:space="preserve"> or participant</w:t>
      </w:r>
      <w:r w:rsidRPr="0002753E">
        <w:rPr>
          <w:rFonts w:ascii="Calibri" w:eastAsia="Times New Roman" w:hAnsi="Calibri" w:cs="Calibri"/>
          <w:sz w:val="22"/>
          <w:szCs w:val="22"/>
          <w:lang w:eastAsia="en-AU"/>
        </w:rPr>
        <w:t xml:space="preserve">, the Lifetime Care and Support Authority (Lifetime Care) may waive observance of any part or parts of </w:t>
      </w:r>
      <w:r w:rsidRPr="0002753E">
        <w:rPr>
          <w:rFonts w:ascii="Calibri" w:eastAsia="Times New Roman" w:hAnsi="Calibri" w:cs="Calibri"/>
          <w:sz w:val="22"/>
          <w:szCs w:val="22"/>
        </w:rPr>
        <w:t>th</w:t>
      </w:r>
      <w:r>
        <w:rPr>
          <w:rFonts w:ascii="Calibri" w:eastAsia="Times New Roman" w:hAnsi="Calibri" w:cs="Calibri"/>
          <w:sz w:val="22"/>
          <w:szCs w:val="22"/>
        </w:rPr>
        <w:t>is</w:t>
      </w:r>
      <w:r w:rsidRPr="0002753E">
        <w:rPr>
          <w:rFonts w:ascii="Calibri" w:eastAsia="Times New Roman" w:hAnsi="Calibri" w:cs="Calibri"/>
          <w:sz w:val="22"/>
          <w:szCs w:val="22"/>
        </w:rPr>
        <w:t xml:space="preserve"> Guideline</w:t>
      </w:r>
      <w:r w:rsidRPr="0002753E">
        <w:rPr>
          <w:rFonts w:ascii="Calibri" w:eastAsia="Times New Roman" w:hAnsi="Calibri" w:cs="Calibri"/>
          <w:sz w:val="22"/>
          <w:szCs w:val="22"/>
          <w:lang w:eastAsia="en-AU"/>
        </w:rPr>
        <w:t xml:space="preserve">.  </w:t>
      </w:r>
    </w:p>
    <w:p w14:paraId="5FB1E355" w14:textId="77777777" w:rsidR="00BA3697" w:rsidRPr="0002753E" w:rsidRDefault="00BA3697" w:rsidP="00BA3697">
      <w:pPr>
        <w:widowControl w:val="0"/>
        <w:autoSpaceDE w:val="0"/>
        <w:autoSpaceDN w:val="0"/>
        <w:snapToGrid/>
        <w:spacing w:line="360" w:lineRule="auto"/>
        <w:outlineLvl w:val="2"/>
        <w:rPr>
          <w:rFonts w:ascii="Calibri" w:eastAsia="Times New Roman" w:hAnsi="Calibri" w:cs="Calibri"/>
          <w:b/>
          <w:sz w:val="22"/>
          <w:szCs w:val="22"/>
          <w:lang w:eastAsia="en-AU"/>
        </w:rPr>
      </w:pPr>
      <w:bookmarkStart w:id="11" w:name="_Toc325043907"/>
      <w:bookmarkStart w:id="12" w:name="_Toc325044384"/>
    </w:p>
    <w:p w14:paraId="466B2F23"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Relevant section of the legislation:</w:t>
      </w:r>
    </w:p>
    <w:p w14:paraId="18FC23D7"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1BF7A595"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 xml:space="preserve">Part 3 Dispute resolution </w:t>
      </w:r>
    </w:p>
    <w:p w14:paraId="0697FAA2"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Division 1 Disputes about eligibility</w:t>
      </w:r>
    </w:p>
    <w:p w14:paraId="0F76C07E"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12   Definitions</w:t>
      </w:r>
    </w:p>
    <w:p w14:paraId="59C3589F"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 this Division:</w:t>
      </w:r>
    </w:p>
    <w:p w14:paraId="362BA41A"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b/>
          <w:sz w:val="22"/>
          <w:szCs w:val="22"/>
          <w:lang w:eastAsia="en-AU"/>
        </w:rPr>
        <w:t>Assessment Panel</w:t>
      </w:r>
      <w:r w:rsidRPr="0002753E">
        <w:rPr>
          <w:rFonts w:ascii="Calibri" w:eastAsia="Times New Roman" w:hAnsi="Calibri" w:cs="Calibri"/>
          <w:sz w:val="22"/>
          <w:szCs w:val="22"/>
          <w:lang w:eastAsia="en-AU"/>
        </w:rPr>
        <w:t xml:space="preserve"> means a panel of assessors convened under this Division to determine a dispute under this Division.</w:t>
      </w:r>
    </w:p>
    <w:p w14:paraId="43435934"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b/>
          <w:sz w:val="22"/>
          <w:szCs w:val="22"/>
          <w:lang w:eastAsia="en-AU"/>
        </w:rPr>
        <w:t>assessor</w:t>
      </w:r>
      <w:r w:rsidRPr="0002753E">
        <w:rPr>
          <w:rFonts w:ascii="Calibri" w:eastAsia="Times New Roman" w:hAnsi="Calibri" w:cs="Calibri"/>
          <w:sz w:val="22"/>
          <w:szCs w:val="22"/>
          <w:lang w:eastAsia="en-AU"/>
        </w:rPr>
        <w:t xml:space="preserve"> means a person appointed under this Division as an assessor for the purposes of this Division.</w:t>
      </w:r>
    </w:p>
    <w:p w14:paraId="09C1FEFA"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b/>
          <w:sz w:val="22"/>
          <w:szCs w:val="22"/>
          <w:lang w:eastAsia="en-AU"/>
        </w:rPr>
        <w:t>Review Panel</w:t>
      </w:r>
      <w:r w:rsidRPr="0002753E">
        <w:rPr>
          <w:rFonts w:ascii="Calibri" w:eastAsia="Times New Roman" w:hAnsi="Calibri" w:cs="Calibri"/>
          <w:sz w:val="22"/>
          <w:szCs w:val="22"/>
          <w:lang w:eastAsia="en-AU"/>
        </w:rPr>
        <w:t xml:space="preserve"> means a panel of assessors convened under this Division to review a determination by an Assessment Panel.</w:t>
      </w:r>
    </w:p>
    <w:p w14:paraId="725F838D"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13   Appointment of assessors</w:t>
      </w:r>
    </w:p>
    <w:p w14:paraId="5546A40B"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Authority is to appoint medical practitioners and other suitably qualified persons to be assessors for the purposes of this Division.</w:t>
      </w:r>
    </w:p>
    <w:p w14:paraId="12102286"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14   Referral of disputes to Assessment Panel</w:t>
      </w:r>
    </w:p>
    <w:p w14:paraId="10093112"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  If there is a dispute as to whether a motor accident injury suffered by a person satisfies criteria specified in the LTCS Guidelines for eligibility for participation in the Scheme, the dispute can be referred to an Assessment Panel for determination.</w:t>
      </w:r>
    </w:p>
    <w:p w14:paraId="4BAC3078"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(2)  The dispute can be referred by the Authority or by notice to the Authority given by or on behalf of the injured person or by the insurer of the injured person’s claim.</w:t>
      </w:r>
    </w:p>
    <w:p w14:paraId="27CC3686"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(3)  The Authority is to convene a panel of 3 assessors to constitute the Assessment Panel to determine a </w:t>
      </w:r>
      <w:r w:rsidRPr="0002753E">
        <w:rPr>
          <w:rFonts w:ascii="Calibri" w:eastAsia="Times New Roman" w:hAnsi="Calibri" w:cs="Calibri"/>
          <w:sz w:val="22"/>
          <w:szCs w:val="22"/>
          <w:lang w:eastAsia="en-AU"/>
        </w:rPr>
        <w:lastRenderedPageBreak/>
        <w:t>dispute referred under this section.</w:t>
      </w:r>
    </w:p>
    <w:p w14:paraId="60547EBB"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  The Assessment Panel to which a dispute is referred for determination is to determine the dispute and is to give a certificate as to its determination setting out the reasons for its determination.</w:t>
      </w:r>
    </w:p>
    <w:p w14:paraId="248EB3C9"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1193F66C" w14:textId="77777777" w:rsidR="00270AAF" w:rsidRDefault="00270AAF" w:rsidP="00BA3697">
      <w:pPr>
        <w:spacing w:line="360" w:lineRule="auto"/>
        <w:rPr>
          <w:rFonts w:ascii="Calibri" w:hAnsi="Calibri" w:cs="Calibri"/>
          <w:b/>
          <w:sz w:val="22"/>
          <w:szCs w:val="22"/>
        </w:rPr>
      </w:pPr>
    </w:p>
    <w:p w14:paraId="74613CE3"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Time periods and extension of time</w:t>
      </w:r>
      <w:bookmarkEnd w:id="11"/>
      <w:bookmarkEnd w:id="12"/>
      <w:r w:rsidRPr="0002753E">
        <w:rPr>
          <w:rFonts w:ascii="Calibri" w:hAnsi="Calibri" w:cs="Calibri"/>
          <w:b/>
          <w:sz w:val="22"/>
          <w:szCs w:val="22"/>
        </w:rPr>
        <w:t xml:space="preserve"> </w:t>
      </w:r>
    </w:p>
    <w:p w14:paraId="5169BE62"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period of time referred to in these Guidelines: </w:t>
      </w:r>
    </w:p>
    <w:p w14:paraId="60B9A16C" w14:textId="77777777" w:rsidR="00BA3697" w:rsidRPr="0002753E" w:rsidRDefault="00BA3697" w:rsidP="00BA3697">
      <w:pPr>
        <w:widowControl w:val="0"/>
        <w:numPr>
          <w:ilvl w:val="0"/>
          <w:numId w:val="1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excludes the day that the act is done, e.g. a reference to 5 working days means 5 working days from the following day; and</w:t>
      </w:r>
    </w:p>
    <w:p w14:paraId="4C7294AF" w14:textId="77777777" w:rsidR="00BA3697" w:rsidRPr="0002753E" w:rsidRDefault="00BA3697" w:rsidP="00BA3697">
      <w:pPr>
        <w:widowControl w:val="0"/>
        <w:numPr>
          <w:ilvl w:val="0"/>
          <w:numId w:val="1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excludes days that are not working days when Lifetime Care is closed (such as weekends and public holidays).   </w:t>
      </w:r>
    </w:p>
    <w:p w14:paraId="62BEDF5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Lifetime Care reserves the right to extend or abridge any time limit in these Guidelines that affects Lifetime Care, an injured person, a party to the dispute or a</w:t>
      </w:r>
      <w:r w:rsidR="00F0103F">
        <w:rPr>
          <w:rFonts w:ascii="Calibri" w:eastAsia="Times New Roman" w:hAnsi="Calibri" w:cs="Calibri"/>
          <w:sz w:val="22"/>
          <w:szCs w:val="22"/>
          <w:lang w:eastAsia="en-AU"/>
        </w:rPr>
        <w:t xml:space="preserve"> dispute</w:t>
      </w:r>
      <w:r w:rsidRPr="0002753E">
        <w:rPr>
          <w:rFonts w:ascii="Calibri" w:eastAsia="Times New Roman" w:hAnsi="Calibri" w:cs="Calibri"/>
          <w:sz w:val="22"/>
          <w:szCs w:val="22"/>
          <w:lang w:eastAsia="en-AU"/>
        </w:rPr>
        <w:t xml:space="preserve"> assessor. Lifetime Care may extend any of the time periods in these Guidelines, whether or not a request is made to extend any time limit.  </w:t>
      </w:r>
    </w:p>
    <w:p w14:paraId="4F8B8178" w14:textId="77777777" w:rsidR="00BA3697" w:rsidRPr="0002753E" w:rsidRDefault="00BA3697" w:rsidP="00BA3697">
      <w:pPr>
        <w:widowControl w:val="0"/>
        <w:autoSpaceDE w:val="0"/>
        <w:autoSpaceDN w:val="0"/>
        <w:snapToGrid/>
        <w:spacing w:line="360" w:lineRule="auto"/>
        <w:rPr>
          <w:rFonts w:ascii="Calibri" w:eastAsia="Times New Roman" w:hAnsi="Calibri" w:cs="Calibri"/>
          <w:b/>
          <w:bCs/>
          <w:sz w:val="22"/>
          <w:szCs w:val="22"/>
          <w:lang w:eastAsia="en-AU"/>
        </w:rPr>
      </w:pPr>
      <w:r w:rsidRPr="0002753E">
        <w:rPr>
          <w:rFonts w:ascii="Calibri" w:eastAsia="Times New Roman" w:hAnsi="Calibri" w:cs="Calibri"/>
          <w:b/>
          <w:bCs/>
          <w:sz w:val="22"/>
          <w:szCs w:val="22"/>
          <w:lang w:eastAsia="en-AU"/>
        </w:rPr>
        <w:t xml:space="preserve"> </w:t>
      </w:r>
    </w:p>
    <w:p w14:paraId="35F2C983"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 xml:space="preserve">Definitions </w:t>
      </w:r>
    </w:p>
    <w:p w14:paraId="3E29762A"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In this Part of the Guidelines, these words and phrases have the following meanings:  </w:t>
      </w:r>
    </w:p>
    <w:p w14:paraId="57A6FF59"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3C9EEE38"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Act </w:t>
      </w:r>
      <w:r w:rsidRPr="0002753E">
        <w:rPr>
          <w:rFonts w:ascii="Calibri" w:eastAsia="Times New Roman" w:hAnsi="Calibri" w:cs="Calibri"/>
          <w:sz w:val="22"/>
          <w:szCs w:val="22"/>
          <w:lang w:eastAsia="en-AU"/>
        </w:rPr>
        <w:t xml:space="preserve">means </w:t>
      </w:r>
      <w:r w:rsidRPr="0002753E">
        <w:rPr>
          <w:rFonts w:ascii="Calibri" w:eastAsia="Times New Roman" w:hAnsi="Calibri" w:cs="Calibri"/>
          <w:i/>
          <w:sz w:val="22"/>
          <w:szCs w:val="22"/>
          <w:lang w:eastAsia="en-AU"/>
        </w:rPr>
        <w:t>Motor Accidents (Lifetime Care and Support) Act 2006</w:t>
      </w:r>
      <w:r w:rsidRPr="0002753E">
        <w:rPr>
          <w:rFonts w:ascii="Calibri" w:eastAsia="Times New Roman" w:hAnsi="Calibri" w:cs="Calibri"/>
          <w:sz w:val="22"/>
          <w:szCs w:val="22"/>
          <w:lang w:eastAsia="en-AU"/>
        </w:rPr>
        <w:t xml:space="preserve">. A reference in these Guidelines to a section “X” is a reference to a section of the Motor Accidents (Lifetime Care and Support) Act 2006 (NSW). </w:t>
      </w:r>
    </w:p>
    <w:p w14:paraId="3825C1F8"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B8F28F4"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Assessor </w:t>
      </w:r>
      <w:r w:rsidRPr="0002753E">
        <w:rPr>
          <w:rFonts w:ascii="Calibri" w:eastAsia="Times New Roman" w:hAnsi="Calibri" w:cs="Calibri"/>
          <w:sz w:val="22"/>
          <w:szCs w:val="22"/>
          <w:lang w:eastAsia="en-AU"/>
        </w:rPr>
        <w:t xml:space="preserve">has the meaning given to it in section 12 of the Act. A reference to an assessor also includes multiples of assessors or a group of assessors conducting an assessment as a panel.  </w:t>
      </w:r>
    </w:p>
    <w:p w14:paraId="5E22D4A8"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p>
    <w:p w14:paraId="79451DD3"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Certificate</w:t>
      </w:r>
      <w:r w:rsidRPr="0002753E">
        <w:rPr>
          <w:rFonts w:ascii="Calibri" w:eastAsia="Times New Roman" w:hAnsi="Calibri" w:cs="Calibri"/>
          <w:sz w:val="22"/>
          <w:szCs w:val="22"/>
          <w:lang w:eastAsia="en-AU"/>
        </w:rPr>
        <w:t xml:space="preserve"> means a certificate of the assessment panel or review panel’s determination issued under sections 14(4) or 15(4) of the Act, including the reasons for any finding. </w:t>
      </w:r>
    </w:p>
    <w:p w14:paraId="6B961DF6"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9085F6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Days </w:t>
      </w:r>
      <w:r w:rsidRPr="0002753E">
        <w:rPr>
          <w:rFonts w:ascii="Calibri" w:eastAsia="Times New Roman" w:hAnsi="Calibri" w:cs="Calibri"/>
          <w:sz w:val="22"/>
          <w:szCs w:val="22"/>
          <w:lang w:eastAsia="en-AU"/>
        </w:rPr>
        <w:t xml:space="preserve">is a reference to the number of working days and not calendar days. </w:t>
      </w:r>
    </w:p>
    <w:p w14:paraId="513FCD33"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7B009F4"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Dispute</w:t>
      </w:r>
      <w:r w:rsidRPr="0002753E">
        <w:rPr>
          <w:rFonts w:ascii="Calibri" w:eastAsia="Times New Roman" w:hAnsi="Calibri" w:cs="Calibri"/>
          <w:sz w:val="22"/>
          <w:szCs w:val="22"/>
          <w:lang w:eastAsia="en-AU"/>
        </w:rPr>
        <w:t xml:space="preserve"> means a dispute about eligibility which has the meaning given to it under section 14(1) of the Act. </w:t>
      </w:r>
    </w:p>
    <w:p w14:paraId="577A82BF"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1F6C091"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Insurer</w:t>
      </w:r>
      <w:r w:rsidRPr="0002753E">
        <w:rPr>
          <w:rFonts w:ascii="Calibri" w:eastAsia="Times New Roman" w:hAnsi="Calibri" w:cs="Calibri"/>
          <w:sz w:val="22"/>
          <w:szCs w:val="22"/>
          <w:lang w:eastAsia="en-AU"/>
        </w:rPr>
        <w:t xml:space="preserve"> means an insurer of a claim as defined in section 3 of the Act. </w:t>
      </w:r>
    </w:p>
    <w:p w14:paraId="424632B9"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A14B7F4" w14:textId="64BA664F"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Injured person </w:t>
      </w:r>
      <w:r w:rsidRPr="0002753E">
        <w:rPr>
          <w:rFonts w:ascii="Calibri" w:eastAsia="Times New Roman" w:hAnsi="Calibri" w:cs="Calibri"/>
          <w:sz w:val="22"/>
          <w:szCs w:val="22"/>
          <w:lang w:eastAsia="en-AU"/>
        </w:rPr>
        <w:t xml:space="preserve">means the person who is the subject of </w:t>
      </w:r>
      <w:r w:rsidR="00C0645F">
        <w:rPr>
          <w:rFonts w:ascii="Calibri" w:eastAsia="Times New Roman" w:hAnsi="Calibri" w:cs="Calibri"/>
          <w:sz w:val="22"/>
          <w:szCs w:val="22"/>
          <w:lang w:eastAsia="en-AU"/>
        </w:rPr>
        <w:t>i</w:t>
      </w:r>
      <w:r w:rsidRPr="0002753E">
        <w:rPr>
          <w:rFonts w:ascii="Calibri" w:eastAsia="Times New Roman" w:hAnsi="Calibri" w:cs="Calibri"/>
          <w:sz w:val="22"/>
          <w:szCs w:val="22"/>
          <w:lang w:eastAsia="en-AU"/>
        </w:rPr>
        <w:t xml:space="preserve">care Lifetime Care’s decision about eligibility. Any reference to an injured person in these Guidelines is a reference to the </w:t>
      </w:r>
      <w:r w:rsidRPr="0002753E">
        <w:rPr>
          <w:rFonts w:ascii="Calibri" w:eastAsia="Times New Roman" w:hAnsi="Calibri" w:cs="Calibri"/>
          <w:b/>
          <w:bCs/>
          <w:sz w:val="22"/>
          <w:szCs w:val="22"/>
          <w:lang w:eastAsia="en-AU"/>
        </w:rPr>
        <w:t>injured person’s legal guardian</w:t>
      </w:r>
      <w:r w:rsidRPr="0002753E">
        <w:rPr>
          <w:rFonts w:ascii="Calibri" w:eastAsia="Times New Roman" w:hAnsi="Calibri" w:cs="Calibri"/>
          <w:sz w:val="22"/>
          <w:szCs w:val="22"/>
          <w:lang w:eastAsia="en-AU"/>
        </w:rPr>
        <w:t xml:space="preserve"> where applicable. </w:t>
      </w:r>
    </w:p>
    <w:p w14:paraId="27E1CFD4"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 xml:space="preserve"> </w:t>
      </w:r>
    </w:p>
    <w:p w14:paraId="1CEEB6BC"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sz w:val="22"/>
          <w:szCs w:val="22"/>
          <w:lang w:eastAsia="en-AU"/>
        </w:rPr>
        <w:t>Lifetime Care</w:t>
      </w:r>
      <w:r w:rsidRPr="0002753E">
        <w:rPr>
          <w:rFonts w:ascii="Calibri" w:eastAsia="Times New Roman" w:hAnsi="Calibri" w:cs="Calibri"/>
          <w:sz w:val="22"/>
          <w:szCs w:val="22"/>
          <w:lang w:eastAsia="en-AU"/>
        </w:rPr>
        <w:t xml:space="preserve"> means the Lifetime Care and Support Authority.</w:t>
      </w:r>
    </w:p>
    <w:p w14:paraId="0CE4FF0D"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p>
    <w:p w14:paraId="48194467"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Panel</w:t>
      </w:r>
      <w:r w:rsidRPr="0002753E">
        <w:rPr>
          <w:rFonts w:ascii="Calibri" w:eastAsia="Times New Roman" w:hAnsi="Calibri" w:cs="Calibri"/>
          <w:sz w:val="22"/>
          <w:szCs w:val="22"/>
          <w:lang w:eastAsia="en-AU"/>
        </w:rPr>
        <w:t xml:space="preserve"> means a panel of three assessors convened by Lifetime Care under section 14(3) of the Act. This could mean an assessment panel or review panel. </w:t>
      </w:r>
    </w:p>
    <w:p w14:paraId="0C62037B"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72C33E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Participant </w:t>
      </w:r>
      <w:r w:rsidRPr="0002753E">
        <w:rPr>
          <w:rFonts w:ascii="Calibri" w:eastAsia="Times New Roman" w:hAnsi="Calibri" w:cs="Calibri"/>
          <w:sz w:val="22"/>
          <w:szCs w:val="22"/>
          <w:lang w:eastAsia="en-AU"/>
        </w:rPr>
        <w:t>means an injured person who is a participant in the Lifetime Care and Support Scheme (the Scheme). Any reference to a participant in these Guidelines is a reference to the</w:t>
      </w:r>
      <w:r w:rsidRPr="0002753E">
        <w:rPr>
          <w:rFonts w:ascii="Calibri" w:eastAsia="Times New Roman" w:hAnsi="Calibri" w:cs="Calibri"/>
          <w:b/>
          <w:bCs/>
          <w:sz w:val="22"/>
          <w:szCs w:val="22"/>
          <w:lang w:eastAsia="en-AU"/>
        </w:rPr>
        <w:t xml:space="preserve"> participant’s legal guardian </w:t>
      </w:r>
      <w:r w:rsidRPr="0002753E">
        <w:rPr>
          <w:rFonts w:ascii="Calibri" w:eastAsia="Times New Roman" w:hAnsi="Calibri" w:cs="Calibri"/>
          <w:sz w:val="22"/>
          <w:szCs w:val="22"/>
          <w:lang w:eastAsia="en-AU"/>
        </w:rPr>
        <w:t xml:space="preserve">in cases where this applies.   </w:t>
      </w:r>
    </w:p>
    <w:p w14:paraId="65D0749E"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0916BEB9"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Party</w:t>
      </w:r>
      <w:r w:rsidRPr="0002753E">
        <w:rPr>
          <w:rFonts w:ascii="Calibri" w:eastAsia="Times New Roman" w:hAnsi="Calibri" w:cs="Calibri"/>
          <w:sz w:val="22"/>
          <w:szCs w:val="22"/>
          <w:lang w:eastAsia="en-AU"/>
        </w:rPr>
        <w:t xml:space="preserve"> means someone involved in the dispute such as the injured person or an insurer. A reference to a party can include multiples of parties, or multiple parties. </w:t>
      </w:r>
    </w:p>
    <w:p w14:paraId="489F7335" w14:textId="77777777" w:rsidR="00BA3697" w:rsidRPr="0002753E" w:rsidRDefault="00BA3697" w:rsidP="00BA3697">
      <w:pPr>
        <w:widowControl w:val="0"/>
        <w:autoSpaceDE w:val="0"/>
        <w:autoSpaceDN w:val="0"/>
        <w:snapToGrid/>
        <w:spacing w:line="360" w:lineRule="auto"/>
        <w:ind w:left="360"/>
        <w:rPr>
          <w:rFonts w:ascii="Calibri" w:eastAsia="Times New Roman" w:hAnsi="Calibri" w:cs="Calibri"/>
          <w:sz w:val="22"/>
          <w:szCs w:val="22"/>
          <w:lang w:eastAsia="en-AU"/>
        </w:rPr>
      </w:pPr>
    </w:p>
    <w:p w14:paraId="28139458"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Review</w:t>
      </w:r>
      <w:r w:rsidRPr="0002753E">
        <w:rPr>
          <w:rFonts w:ascii="Calibri" w:eastAsia="Times New Roman" w:hAnsi="Calibri" w:cs="Calibri"/>
          <w:sz w:val="22"/>
          <w:szCs w:val="22"/>
          <w:lang w:eastAsia="en-AU"/>
        </w:rPr>
        <w:t xml:space="preserve"> means a review of a dispute about eligibility referred to in section 15 of the Act.   </w:t>
      </w:r>
    </w:p>
    <w:p w14:paraId="122EB084"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b/>
          <w:bCs/>
          <w:sz w:val="22"/>
          <w:szCs w:val="22"/>
          <w:lang w:eastAsia="en-AU"/>
        </w:rPr>
        <w:t xml:space="preserve"> </w:t>
      </w:r>
    </w:p>
    <w:p w14:paraId="24366271" w14:textId="77777777" w:rsidR="00BA3697" w:rsidRPr="0002753E" w:rsidRDefault="00BA3697" w:rsidP="00BA3697">
      <w:pPr>
        <w:spacing w:line="360" w:lineRule="auto"/>
        <w:rPr>
          <w:rFonts w:ascii="Calibri" w:hAnsi="Calibri" w:cs="Calibri"/>
          <w:b/>
          <w:sz w:val="22"/>
          <w:szCs w:val="22"/>
        </w:rPr>
      </w:pPr>
      <w:bookmarkStart w:id="13" w:name="_Toc325044404"/>
      <w:r w:rsidRPr="0002753E">
        <w:rPr>
          <w:rFonts w:ascii="Calibri" w:hAnsi="Calibri" w:cs="Calibri"/>
          <w:b/>
          <w:sz w:val="22"/>
          <w:szCs w:val="22"/>
        </w:rPr>
        <w:t xml:space="preserve">Parties to a dispute </w:t>
      </w:r>
      <w:bookmarkEnd w:id="13"/>
    </w:p>
    <w:p w14:paraId="556B3C27" w14:textId="77777777" w:rsidR="00BA3697" w:rsidRPr="0002753E" w:rsidRDefault="00811C08"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The</w:t>
      </w:r>
      <w:r w:rsidR="00BA3697" w:rsidRPr="0002753E">
        <w:rPr>
          <w:rFonts w:ascii="Calibri" w:eastAsia="Times New Roman" w:hAnsi="Calibri" w:cs="Calibri"/>
          <w:sz w:val="22"/>
          <w:szCs w:val="22"/>
          <w:lang w:eastAsia="en-AU"/>
        </w:rPr>
        <w:t xml:space="preserve"> part</w:t>
      </w:r>
      <w:r>
        <w:rPr>
          <w:rFonts w:ascii="Calibri" w:eastAsia="Times New Roman" w:hAnsi="Calibri" w:cs="Calibri"/>
          <w:sz w:val="22"/>
          <w:szCs w:val="22"/>
          <w:lang w:eastAsia="en-AU"/>
        </w:rPr>
        <w:t>ies</w:t>
      </w:r>
      <w:r w:rsidR="00BA3697" w:rsidRPr="0002753E">
        <w:rPr>
          <w:rFonts w:ascii="Calibri" w:eastAsia="Times New Roman" w:hAnsi="Calibri" w:cs="Calibri"/>
          <w:sz w:val="22"/>
          <w:szCs w:val="22"/>
          <w:lang w:eastAsia="en-AU"/>
        </w:rPr>
        <w:t xml:space="preserve"> to a dispute about eligibility always</w:t>
      </w:r>
      <w:r>
        <w:rPr>
          <w:rFonts w:ascii="Calibri" w:eastAsia="Times New Roman" w:hAnsi="Calibri" w:cs="Calibri"/>
          <w:sz w:val="22"/>
          <w:szCs w:val="22"/>
          <w:lang w:eastAsia="en-AU"/>
        </w:rPr>
        <w:t xml:space="preserve"> include</w:t>
      </w:r>
      <w:r w:rsidR="00BA3697" w:rsidRPr="0002753E">
        <w:rPr>
          <w:rFonts w:ascii="Calibri" w:eastAsia="Times New Roman" w:hAnsi="Calibri" w:cs="Calibri"/>
          <w:sz w:val="22"/>
          <w:szCs w:val="22"/>
          <w:lang w:eastAsia="en-AU"/>
        </w:rPr>
        <w:t>:</w:t>
      </w:r>
    </w:p>
    <w:p w14:paraId="0DEF795D" w14:textId="77777777" w:rsidR="00BA3697" w:rsidRPr="0002753E" w:rsidRDefault="00BA3697" w:rsidP="00BA3697">
      <w:pPr>
        <w:widowControl w:val="0"/>
        <w:numPr>
          <w:ilvl w:val="0"/>
          <w:numId w:val="1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applicant, that is, the person making the dispute application (if the applicant is not the injured person); and</w:t>
      </w:r>
    </w:p>
    <w:p w14:paraId="370FAC6B" w14:textId="77777777" w:rsidR="00BA3697" w:rsidRPr="0002753E" w:rsidRDefault="00BA3697" w:rsidP="00BA3697">
      <w:pPr>
        <w:widowControl w:val="0"/>
        <w:numPr>
          <w:ilvl w:val="0"/>
          <w:numId w:val="1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injured person who is the subject of Lifetime Care’s decision about eligibility. The injured person is always a party to the dispute, whether or not they are a participant </w:t>
      </w:r>
      <w:r w:rsidR="00811C08">
        <w:rPr>
          <w:rFonts w:ascii="Calibri" w:eastAsia="Times New Roman" w:hAnsi="Calibri" w:cs="Calibri"/>
          <w:sz w:val="22"/>
          <w:szCs w:val="22"/>
          <w:lang w:eastAsia="en-AU"/>
        </w:rPr>
        <w:t>in</w:t>
      </w:r>
      <w:r w:rsidRPr="0002753E">
        <w:rPr>
          <w:rFonts w:ascii="Calibri" w:eastAsia="Times New Roman" w:hAnsi="Calibri" w:cs="Calibri"/>
          <w:sz w:val="22"/>
          <w:szCs w:val="22"/>
          <w:lang w:eastAsia="en-AU"/>
        </w:rPr>
        <w:t xml:space="preserve"> the Scheme at the time that the dispute application is made. </w:t>
      </w:r>
    </w:p>
    <w:p w14:paraId="6F565138"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D76D511"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 insurer of a claim made by the injured person in respect of the injury may also be a party to a dispute about eligibility, but only after a claim has been made. The date that the insurer may become involved in the dispute is the date that the claim form was received by the insurer.   </w:t>
      </w:r>
    </w:p>
    <w:p w14:paraId="32D8D39B"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433AA066"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All parties to a dispute will: </w:t>
      </w:r>
    </w:p>
    <w:p w14:paraId="3B2840A5" w14:textId="77777777" w:rsidR="00BA3697" w:rsidRPr="0002753E" w:rsidRDefault="00BA3697" w:rsidP="00BA3697">
      <w:pPr>
        <w:widowControl w:val="0"/>
        <w:numPr>
          <w:ilvl w:val="0"/>
          <w:numId w:val="1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receive a copy of the request to refer the dispute, and any other documents related to the dispute submitted to Lifetime Care in relation to that dispute; </w:t>
      </w:r>
    </w:p>
    <w:p w14:paraId="1244E0BF" w14:textId="77777777" w:rsidR="00BA3697" w:rsidRPr="0002753E" w:rsidRDefault="00BA3697" w:rsidP="00BA3697">
      <w:pPr>
        <w:widowControl w:val="0"/>
        <w:numPr>
          <w:ilvl w:val="0"/>
          <w:numId w:val="1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receive a copy of Lifetime Care’s decision about eligibility and any documents related to that decision that were submitted to Lifetime Care, including the Application Form;</w:t>
      </w:r>
    </w:p>
    <w:p w14:paraId="776EBAF4" w14:textId="77777777" w:rsidR="00BA3697" w:rsidRPr="0002753E" w:rsidRDefault="00BA3697" w:rsidP="00BA3697">
      <w:pPr>
        <w:widowControl w:val="0"/>
        <w:numPr>
          <w:ilvl w:val="0"/>
          <w:numId w:val="1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have </w:t>
      </w:r>
      <w:r w:rsidR="00811C08">
        <w:rPr>
          <w:rFonts w:ascii="Calibri" w:eastAsia="Times New Roman" w:hAnsi="Calibri" w:cs="Calibri"/>
          <w:sz w:val="22"/>
          <w:szCs w:val="22"/>
          <w:lang w:eastAsia="en-AU"/>
        </w:rPr>
        <w:t xml:space="preserve">an </w:t>
      </w:r>
      <w:r w:rsidRPr="0002753E">
        <w:rPr>
          <w:rFonts w:ascii="Calibri" w:eastAsia="Times New Roman" w:hAnsi="Calibri" w:cs="Calibri"/>
          <w:sz w:val="22"/>
          <w:szCs w:val="22"/>
          <w:lang w:eastAsia="en-AU"/>
        </w:rPr>
        <w:t>opportunity to make a written submission or submissions in relation to the dispute or issues in dispute, which may be in response to any information in the application or any documents attached to the application, which will be forwarded to the panel; and</w:t>
      </w:r>
    </w:p>
    <w:p w14:paraId="6E070BFD" w14:textId="77777777" w:rsidR="00BA3697" w:rsidRPr="0002753E" w:rsidRDefault="00BA3697" w:rsidP="00BA3697">
      <w:pPr>
        <w:widowControl w:val="0"/>
        <w:numPr>
          <w:ilvl w:val="0"/>
          <w:numId w:val="1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receive the </w:t>
      </w:r>
      <w:r w:rsidR="00F0103F">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or </w:t>
      </w:r>
      <w:r w:rsidR="00F0103F">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F0103F">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certificate.   </w:t>
      </w:r>
    </w:p>
    <w:p w14:paraId="1F63D1BD" w14:textId="77777777" w:rsidR="00BA3697"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5371F7A1" w14:textId="77777777" w:rsidR="006003D9" w:rsidRPr="006003D9" w:rsidRDefault="006003D9" w:rsidP="00BA3697">
      <w:pPr>
        <w:widowControl w:val="0"/>
        <w:autoSpaceDE w:val="0"/>
        <w:autoSpaceDN w:val="0"/>
        <w:snapToGrid/>
        <w:spacing w:line="360" w:lineRule="auto"/>
        <w:rPr>
          <w:rFonts w:ascii="Calibri" w:eastAsia="Times New Roman" w:hAnsi="Calibri" w:cs="Calibri"/>
          <w:b/>
          <w:sz w:val="22"/>
          <w:szCs w:val="22"/>
          <w:lang w:eastAsia="en-AU"/>
        </w:rPr>
      </w:pPr>
      <w:r w:rsidRPr="006003D9">
        <w:rPr>
          <w:rFonts w:ascii="Calibri" w:eastAsia="Times New Roman" w:hAnsi="Calibri" w:cs="Calibri"/>
          <w:b/>
          <w:sz w:val="22"/>
          <w:szCs w:val="22"/>
          <w:lang w:eastAsia="en-AU"/>
        </w:rPr>
        <w:t>Legal representation</w:t>
      </w:r>
    </w:p>
    <w:p w14:paraId="5635CFA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the injured person or a party has legal representation</w:t>
      </w:r>
      <w:r w:rsidR="006003D9">
        <w:rPr>
          <w:rFonts w:ascii="Calibri" w:eastAsia="Times New Roman" w:hAnsi="Calibri" w:cs="Calibri"/>
          <w:sz w:val="22"/>
          <w:szCs w:val="22"/>
          <w:lang w:eastAsia="en-AU"/>
        </w:rPr>
        <w:t xml:space="preserve"> in respect of the dispute</w:t>
      </w:r>
      <w:r w:rsidRPr="0002753E">
        <w:rPr>
          <w:rFonts w:ascii="Calibri" w:eastAsia="Times New Roman" w:hAnsi="Calibri" w:cs="Calibri"/>
          <w:sz w:val="22"/>
          <w:szCs w:val="22"/>
          <w:lang w:eastAsia="en-AU"/>
        </w:rPr>
        <w:t xml:space="preserve">, Lifetime Care will send any document required to be sent to the injured person or party to their legal practitioner or agent.  </w:t>
      </w:r>
    </w:p>
    <w:p w14:paraId="696B1BC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D161F73"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However, despite the existence of legal representation, Lifetime Care may contact the injured person directly in relation to any aspect of a dispute or assessment if required. </w:t>
      </w:r>
    </w:p>
    <w:p w14:paraId="64C15D69" w14:textId="77777777" w:rsidR="00BA3697" w:rsidRPr="0002753E" w:rsidRDefault="00BA3697" w:rsidP="00BA3697">
      <w:pPr>
        <w:widowControl w:val="0"/>
        <w:autoSpaceDE w:val="0"/>
        <w:autoSpaceDN w:val="0"/>
        <w:snapToGrid/>
        <w:spacing w:line="360" w:lineRule="auto"/>
        <w:outlineLvl w:val="1"/>
        <w:rPr>
          <w:rFonts w:ascii="Calibri" w:eastAsia="Times New Roman" w:hAnsi="Calibri" w:cs="Calibri"/>
          <w:b/>
          <w:sz w:val="22"/>
          <w:szCs w:val="22"/>
          <w:lang w:eastAsia="en-AU"/>
        </w:rPr>
      </w:pPr>
    </w:p>
    <w:p w14:paraId="5746FA07" w14:textId="5DF3CEDF" w:rsidR="00531555" w:rsidRPr="0002753E" w:rsidRDefault="00BA3697" w:rsidP="00BA3697">
      <w:pPr>
        <w:spacing w:line="360" w:lineRule="auto"/>
        <w:rPr>
          <w:rFonts w:ascii="Calibri" w:hAnsi="Calibri" w:cs="Calibri"/>
          <w:b/>
          <w:sz w:val="22"/>
          <w:szCs w:val="22"/>
        </w:rPr>
      </w:pPr>
      <w:bookmarkStart w:id="14" w:name="_Toc325044406"/>
      <w:bookmarkStart w:id="15" w:name="OLE_LINK5"/>
      <w:r w:rsidRPr="0002753E">
        <w:rPr>
          <w:rFonts w:ascii="Calibri" w:hAnsi="Calibri" w:cs="Calibri"/>
          <w:b/>
          <w:sz w:val="22"/>
          <w:szCs w:val="22"/>
        </w:rPr>
        <w:t>Sending documents to Lifetime Care</w:t>
      </w:r>
      <w:bookmarkEnd w:id="14"/>
      <w:r w:rsidRPr="0002753E">
        <w:rPr>
          <w:rFonts w:ascii="Calibri" w:hAnsi="Calibri" w:cs="Calibri"/>
          <w:b/>
          <w:sz w:val="22"/>
          <w:szCs w:val="22"/>
        </w:rPr>
        <w:t xml:space="preserve"> </w:t>
      </w:r>
    </w:p>
    <w:p w14:paraId="207D73AA" w14:textId="77777777" w:rsidR="006003D9" w:rsidRPr="00FF310E" w:rsidRDefault="006003D9" w:rsidP="000A6392">
      <w:pPr>
        <w:spacing w:line="360" w:lineRule="auto"/>
        <w:rPr>
          <w:rFonts w:ascii="Calibri" w:eastAsia="Times New Roman" w:hAnsi="Calibri" w:cs="Calibri"/>
          <w:sz w:val="22"/>
          <w:szCs w:val="22"/>
          <w:lang w:eastAsia="en-AU"/>
        </w:rPr>
      </w:pPr>
      <w:r w:rsidRPr="00FF310E">
        <w:rPr>
          <w:rFonts w:ascii="Calibri" w:eastAsia="Times New Roman" w:hAnsi="Calibri" w:cs="Calibri"/>
          <w:sz w:val="22"/>
          <w:szCs w:val="22"/>
          <w:lang w:eastAsia="en-AU"/>
        </w:rPr>
        <w:t>Lifetime Care’s postal address is:</w:t>
      </w:r>
    </w:p>
    <w:p w14:paraId="07CB114F" w14:textId="77777777" w:rsidR="006003D9" w:rsidRPr="00FF310E" w:rsidRDefault="006003D9" w:rsidP="006003D9">
      <w:pPr>
        <w:widowControl w:val="0"/>
        <w:autoSpaceDE w:val="0"/>
        <w:autoSpaceDN w:val="0"/>
        <w:snapToGrid/>
        <w:spacing w:line="360" w:lineRule="auto"/>
        <w:rPr>
          <w:rFonts w:ascii="Calibri" w:eastAsia="Times New Roman" w:hAnsi="Calibri" w:cs="Calibri"/>
          <w:sz w:val="22"/>
          <w:szCs w:val="22"/>
          <w:lang w:eastAsia="en-AU"/>
        </w:rPr>
      </w:pPr>
      <w:r w:rsidRPr="00FF310E">
        <w:rPr>
          <w:rFonts w:ascii="Calibri" w:eastAsia="Times New Roman" w:hAnsi="Calibri" w:cs="Calibri"/>
          <w:sz w:val="22"/>
          <w:szCs w:val="22"/>
          <w:lang w:eastAsia="en-AU"/>
        </w:rPr>
        <w:tab/>
        <w:t>Lifetime Care and Support Authority</w:t>
      </w:r>
    </w:p>
    <w:p w14:paraId="1463C14B" w14:textId="77777777" w:rsidR="006003D9" w:rsidRPr="00FF310E" w:rsidRDefault="006003D9" w:rsidP="006003D9">
      <w:pPr>
        <w:widowControl w:val="0"/>
        <w:autoSpaceDE w:val="0"/>
        <w:autoSpaceDN w:val="0"/>
        <w:snapToGrid/>
        <w:spacing w:line="360" w:lineRule="auto"/>
        <w:rPr>
          <w:rFonts w:ascii="Calibri" w:eastAsia="Times New Roman" w:hAnsi="Calibri" w:cs="Calibri"/>
          <w:sz w:val="22"/>
          <w:szCs w:val="22"/>
          <w:lang w:eastAsia="en-AU"/>
        </w:rPr>
      </w:pPr>
      <w:r w:rsidRPr="00FF310E">
        <w:rPr>
          <w:rFonts w:ascii="Calibri" w:eastAsia="Times New Roman" w:hAnsi="Calibri" w:cs="Calibri"/>
          <w:sz w:val="22"/>
          <w:szCs w:val="22"/>
          <w:lang w:eastAsia="en-AU"/>
        </w:rPr>
        <w:tab/>
        <w:t>icare</w:t>
      </w:r>
    </w:p>
    <w:p w14:paraId="51FB198F" w14:textId="77777777" w:rsidR="006003D9" w:rsidRPr="00FF310E" w:rsidRDefault="006003D9" w:rsidP="006003D9">
      <w:pPr>
        <w:widowControl w:val="0"/>
        <w:autoSpaceDE w:val="0"/>
        <w:autoSpaceDN w:val="0"/>
        <w:snapToGrid/>
        <w:spacing w:line="360" w:lineRule="auto"/>
        <w:rPr>
          <w:rFonts w:ascii="Calibri" w:eastAsia="Times New Roman" w:hAnsi="Calibri" w:cs="Calibri"/>
          <w:sz w:val="22"/>
          <w:szCs w:val="22"/>
          <w:lang w:eastAsia="en-AU"/>
        </w:rPr>
      </w:pPr>
      <w:r w:rsidRPr="00FF310E">
        <w:rPr>
          <w:rFonts w:ascii="Calibri" w:eastAsia="Times New Roman" w:hAnsi="Calibri" w:cs="Calibri"/>
          <w:sz w:val="22"/>
          <w:szCs w:val="22"/>
          <w:lang w:eastAsia="en-AU"/>
        </w:rPr>
        <w:tab/>
        <w:t>GPO Box 4052</w:t>
      </w:r>
    </w:p>
    <w:p w14:paraId="29106F72" w14:textId="77777777" w:rsidR="006003D9" w:rsidRDefault="006003D9" w:rsidP="006003D9">
      <w:pPr>
        <w:widowControl w:val="0"/>
        <w:autoSpaceDE w:val="0"/>
        <w:autoSpaceDN w:val="0"/>
        <w:snapToGrid/>
        <w:spacing w:line="360" w:lineRule="auto"/>
        <w:rPr>
          <w:rFonts w:ascii="Calibri" w:eastAsia="Times New Roman" w:hAnsi="Calibri" w:cs="Calibri"/>
          <w:sz w:val="22"/>
          <w:szCs w:val="22"/>
          <w:lang w:eastAsia="en-AU"/>
        </w:rPr>
      </w:pPr>
      <w:r w:rsidRPr="00FF310E">
        <w:rPr>
          <w:rFonts w:ascii="Calibri" w:eastAsia="Times New Roman" w:hAnsi="Calibri" w:cs="Calibri"/>
          <w:sz w:val="22"/>
          <w:szCs w:val="22"/>
          <w:lang w:eastAsia="en-AU"/>
        </w:rPr>
        <w:tab/>
        <w:t>Sydney NSW 2000</w:t>
      </w:r>
    </w:p>
    <w:p w14:paraId="769042D9" w14:textId="77777777" w:rsidR="006003D9" w:rsidRDefault="006003D9" w:rsidP="006003D9">
      <w:pPr>
        <w:widowControl w:val="0"/>
        <w:autoSpaceDE w:val="0"/>
        <w:autoSpaceDN w:val="0"/>
        <w:snapToGrid/>
        <w:spacing w:line="360" w:lineRule="auto"/>
        <w:rPr>
          <w:rFonts w:ascii="Calibri" w:eastAsia="Times New Roman" w:hAnsi="Calibri" w:cs="Calibri"/>
          <w:sz w:val="22"/>
          <w:szCs w:val="22"/>
          <w:lang w:eastAsia="en-AU"/>
        </w:rPr>
      </w:pPr>
    </w:p>
    <w:p w14:paraId="17618841" w14:textId="77777777" w:rsidR="006003D9" w:rsidRDefault="006003D9" w:rsidP="006003D9">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Lifetime Care’s email address is: </w:t>
      </w:r>
      <w:hyperlink r:id="rId7" w:history="1">
        <w:r w:rsidRPr="00FD2040">
          <w:rPr>
            <w:rStyle w:val="Hyperlink"/>
            <w:rFonts w:ascii="Calibri" w:eastAsia="Times New Roman" w:hAnsi="Calibri" w:cs="Calibri"/>
            <w:sz w:val="22"/>
            <w:szCs w:val="22"/>
            <w:lang w:eastAsia="en-AU"/>
          </w:rPr>
          <w:t>feedback.lifetimecare@icare.nsw.gov.au</w:t>
        </w:r>
      </w:hyperlink>
      <w:r>
        <w:rPr>
          <w:rFonts w:ascii="Calibri" w:eastAsia="Times New Roman" w:hAnsi="Calibri" w:cs="Calibri"/>
          <w:sz w:val="22"/>
          <w:szCs w:val="22"/>
          <w:lang w:eastAsia="en-AU"/>
        </w:rPr>
        <w:t xml:space="preserve"> </w:t>
      </w:r>
    </w:p>
    <w:p w14:paraId="13B4DE30" w14:textId="77777777" w:rsidR="00017898" w:rsidRDefault="00017898" w:rsidP="00BA3697">
      <w:pPr>
        <w:widowControl w:val="0"/>
        <w:autoSpaceDE w:val="0"/>
        <w:autoSpaceDN w:val="0"/>
        <w:snapToGrid/>
        <w:spacing w:line="360" w:lineRule="auto"/>
        <w:rPr>
          <w:rFonts w:ascii="Calibri" w:eastAsia="Times New Roman" w:hAnsi="Calibri" w:cs="Calibri"/>
          <w:sz w:val="22"/>
          <w:szCs w:val="22"/>
          <w:lang w:eastAsia="en-AU"/>
        </w:rPr>
      </w:pPr>
    </w:p>
    <w:p w14:paraId="1CBC903C"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Documents sent to or from Lifetime Care </w:t>
      </w:r>
      <w:r w:rsidR="009D55EC">
        <w:rPr>
          <w:rFonts w:ascii="Calibri" w:eastAsia="Times New Roman" w:hAnsi="Calibri" w:cs="Calibri"/>
          <w:sz w:val="22"/>
          <w:szCs w:val="22"/>
          <w:lang w:eastAsia="en-AU"/>
        </w:rPr>
        <w:t xml:space="preserve">on a working day before 5.00pm </w:t>
      </w:r>
      <w:r w:rsidRPr="0002753E">
        <w:rPr>
          <w:rFonts w:ascii="Calibri" w:eastAsia="Times New Roman" w:hAnsi="Calibri" w:cs="Calibri"/>
          <w:sz w:val="22"/>
          <w:szCs w:val="22"/>
          <w:lang w:eastAsia="en-AU"/>
        </w:rPr>
        <w:t xml:space="preserve">will be assumed to be received on the same day as they were sent: </w:t>
      </w:r>
    </w:p>
    <w:p w14:paraId="08F61B80" w14:textId="77777777" w:rsidR="00BA3697" w:rsidRPr="0002753E" w:rsidRDefault="00BA3697" w:rsidP="00BA369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delivered by hand;</w:t>
      </w:r>
    </w:p>
    <w:p w14:paraId="6489BED6" w14:textId="77777777" w:rsidR="00BA3697" w:rsidRPr="0002753E" w:rsidRDefault="00BA3697" w:rsidP="00BA369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sent via email or internet transfer;</w:t>
      </w:r>
    </w:p>
    <w:p w14:paraId="136B0092" w14:textId="77777777" w:rsidR="00BA3697" w:rsidRPr="0002753E" w:rsidRDefault="00BA3697" w:rsidP="00BA3697">
      <w:pPr>
        <w:widowControl w:val="0"/>
        <w:numPr>
          <w:ilvl w:val="0"/>
          <w:numId w:val="1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if sent by facsimile. </w:t>
      </w:r>
    </w:p>
    <w:p w14:paraId="0B0198F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754F5FE"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email, facsimile or internet transfer sent </w:t>
      </w:r>
      <w:r w:rsidR="009D55EC">
        <w:rPr>
          <w:rFonts w:ascii="Calibri" w:eastAsia="Times New Roman" w:hAnsi="Calibri" w:cs="Calibri"/>
          <w:sz w:val="22"/>
          <w:szCs w:val="22"/>
          <w:lang w:eastAsia="en-AU"/>
        </w:rPr>
        <w:t>at</w:t>
      </w:r>
      <w:r w:rsidRPr="0002753E">
        <w:rPr>
          <w:rFonts w:ascii="Calibri" w:eastAsia="Times New Roman" w:hAnsi="Calibri" w:cs="Calibri"/>
          <w:sz w:val="22"/>
          <w:szCs w:val="22"/>
          <w:lang w:eastAsia="en-AU"/>
        </w:rPr>
        <w:t xml:space="preserve"> or after 5.00pm </w:t>
      </w:r>
      <w:r w:rsidR="009D55EC">
        <w:rPr>
          <w:rFonts w:ascii="Calibri" w:eastAsia="Times New Roman" w:hAnsi="Calibri" w:cs="Calibri"/>
          <w:sz w:val="22"/>
          <w:szCs w:val="22"/>
          <w:lang w:eastAsia="en-AU"/>
        </w:rPr>
        <w:t xml:space="preserve">on a working day, or on a day that is not a working day, </w:t>
      </w:r>
      <w:r w:rsidRPr="0002753E">
        <w:rPr>
          <w:rFonts w:ascii="Calibri" w:eastAsia="Times New Roman" w:hAnsi="Calibri" w:cs="Calibri"/>
          <w:sz w:val="22"/>
          <w:szCs w:val="22"/>
          <w:lang w:eastAsia="en-AU"/>
        </w:rPr>
        <w:t xml:space="preserve">will be taken to be received on the next working day.  </w:t>
      </w:r>
    </w:p>
    <w:p w14:paraId="716E041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49EBE25"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Documents sent to or from Lifetime Care shall be assumed to be received 5 working days after sending if posted by mail.  </w:t>
      </w:r>
    </w:p>
    <w:p w14:paraId="78F14D4E"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C2FAE8F" w14:textId="77777777" w:rsidR="00BA3697" w:rsidRPr="0002753E" w:rsidRDefault="00BA3697" w:rsidP="00BA3697">
      <w:pPr>
        <w:spacing w:line="360" w:lineRule="auto"/>
        <w:rPr>
          <w:rFonts w:ascii="Calibri" w:hAnsi="Calibri" w:cs="Calibri"/>
          <w:b/>
          <w:sz w:val="22"/>
          <w:szCs w:val="22"/>
        </w:rPr>
      </w:pPr>
      <w:bookmarkStart w:id="16" w:name="_Toc325044407"/>
      <w:r w:rsidRPr="0002753E">
        <w:rPr>
          <w:rFonts w:ascii="Calibri" w:hAnsi="Calibri" w:cs="Calibri"/>
          <w:b/>
          <w:sz w:val="22"/>
          <w:szCs w:val="22"/>
        </w:rPr>
        <w:t>Documentation and other supporting material</w:t>
      </w:r>
      <w:bookmarkEnd w:id="16"/>
      <w:r w:rsidRPr="0002753E">
        <w:rPr>
          <w:rFonts w:ascii="Calibri" w:hAnsi="Calibri" w:cs="Calibri"/>
          <w:b/>
          <w:sz w:val="22"/>
          <w:szCs w:val="22"/>
        </w:rPr>
        <w:t xml:space="preserve"> </w:t>
      </w:r>
    </w:p>
    <w:p w14:paraId="2C487C4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Parties should only submit copies of documents to Lifetime Care, not original documents.  </w:t>
      </w:r>
    </w:p>
    <w:p w14:paraId="73D502A3"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DD32CA9"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If documents or other material are submitted to Lifetime Care, Lifetime Care will give a copy of that document or material to any other party to the dispute. </w:t>
      </w:r>
    </w:p>
    <w:p w14:paraId="39653C91"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BD15319"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Parti</w:t>
      </w:r>
      <w:r w:rsidR="00457A23">
        <w:rPr>
          <w:rFonts w:ascii="Calibri" w:eastAsia="Times New Roman" w:hAnsi="Calibri" w:cs="Calibri"/>
          <w:sz w:val="22"/>
          <w:szCs w:val="22"/>
          <w:lang w:eastAsia="en-AU"/>
        </w:rPr>
        <w:t xml:space="preserve">es must not contact an assessor, Assessment Panel or Review Panel </w:t>
      </w:r>
      <w:r w:rsidRPr="0002753E">
        <w:rPr>
          <w:rFonts w:ascii="Calibri" w:eastAsia="Times New Roman" w:hAnsi="Calibri" w:cs="Calibri"/>
          <w:sz w:val="22"/>
          <w:szCs w:val="22"/>
          <w:lang w:eastAsia="en-AU"/>
        </w:rPr>
        <w:t xml:space="preserve">directly in relation to the dispute </w:t>
      </w:r>
      <w:r w:rsidRPr="0002753E">
        <w:rPr>
          <w:rFonts w:ascii="Calibri" w:eastAsia="Times New Roman" w:hAnsi="Calibri" w:cs="Calibri"/>
          <w:sz w:val="22"/>
          <w:szCs w:val="22"/>
          <w:lang w:eastAsia="en-AU"/>
        </w:rPr>
        <w:lastRenderedPageBreak/>
        <w:t xml:space="preserve">unless Lifetime Care gives permission to do so. This applies whether the assessment is current or has finished.  </w:t>
      </w:r>
    </w:p>
    <w:p w14:paraId="286DF0C7"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CBABE2A" w14:textId="77777777" w:rsidR="00BA3697" w:rsidRPr="0002753E" w:rsidRDefault="00BA3697" w:rsidP="00BA3697">
      <w:pPr>
        <w:spacing w:line="360" w:lineRule="auto"/>
        <w:rPr>
          <w:rFonts w:ascii="Calibri" w:hAnsi="Calibri" w:cs="Calibri"/>
          <w:b/>
          <w:sz w:val="22"/>
          <w:szCs w:val="22"/>
        </w:rPr>
      </w:pPr>
      <w:bookmarkStart w:id="17" w:name="_Toc325044408"/>
      <w:r w:rsidRPr="0002753E">
        <w:rPr>
          <w:rFonts w:ascii="Calibri" w:hAnsi="Calibri" w:cs="Calibri"/>
          <w:b/>
          <w:sz w:val="22"/>
          <w:szCs w:val="22"/>
        </w:rPr>
        <w:t>Medical documentation</w:t>
      </w:r>
      <w:bookmarkEnd w:id="17"/>
      <w:r w:rsidRPr="0002753E">
        <w:rPr>
          <w:rFonts w:ascii="Calibri" w:hAnsi="Calibri" w:cs="Calibri"/>
          <w:b/>
          <w:sz w:val="22"/>
          <w:szCs w:val="22"/>
        </w:rPr>
        <w:t xml:space="preserve"> </w:t>
      </w:r>
    </w:p>
    <w:p w14:paraId="431E09C1"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All medical documentation must be listed in the application or otherwise listed in writing (</w:t>
      </w:r>
      <w:r w:rsidR="009D55EC">
        <w:rPr>
          <w:rFonts w:ascii="Calibri" w:eastAsia="Times New Roman" w:hAnsi="Calibri" w:cs="Calibri"/>
          <w:sz w:val="22"/>
          <w:szCs w:val="22"/>
          <w:lang w:eastAsia="en-AU"/>
        </w:rPr>
        <w:t xml:space="preserve">e.g. </w:t>
      </w:r>
      <w:r w:rsidRPr="0002753E">
        <w:rPr>
          <w:rFonts w:ascii="Calibri" w:eastAsia="Times New Roman" w:hAnsi="Calibri" w:cs="Calibri"/>
          <w:sz w:val="22"/>
          <w:szCs w:val="22"/>
          <w:lang w:eastAsia="en-AU"/>
        </w:rPr>
        <w:t xml:space="preserve">sent with a cover letter) when sent to Lifetime Care.   </w:t>
      </w:r>
    </w:p>
    <w:p w14:paraId="7269094D"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4296C728"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In the case of X-rays, Computerised Tomography (CT or CAT scans), Magnetic Resonance Imaging or other radiological or similar investigations, parties should not submit original films, scans or investigations, and should send only the resulting report.   </w:t>
      </w:r>
    </w:p>
    <w:p w14:paraId="2D6330DC"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51562DE7"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If an injured person holds their original films or scans, these can be taken to a clinical examination. Any other arrangements for the viewing of such scans by a</w:t>
      </w:r>
      <w:r w:rsidR="00F0103F">
        <w:rPr>
          <w:rFonts w:ascii="Calibri" w:eastAsia="Times New Roman" w:hAnsi="Calibri" w:cs="Calibri"/>
          <w:sz w:val="22"/>
          <w:szCs w:val="22"/>
          <w:lang w:eastAsia="en-AU"/>
        </w:rPr>
        <w:t>n Assessment</w:t>
      </w:r>
      <w:r w:rsidR="00457A23">
        <w:rPr>
          <w:rFonts w:ascii="Calibri" w:eastAsia="Times New Roman" w:hAnsi="Calibri" w:cs="Calibri"/>
          <w:sz w:val="22"/>
          <w:szCs w:val="22"/>
          <w:lang w:eastAsia="en-AU"/>
        </w:rPr>
        <w:t xml:space="preserve"> Panel</w:t>
      </w:r>
      <w:r w:rsidR="00F0103F">
        <w:rPr>
          <w:rFonts w:ascii="Calibri" w:eastAsia="Times New Roman" w:hAnsi="Calibri" w:cs="Calibri"/>
          <w:sz w:val="22"/>
          <w:szCs w:val="22"/>
          <w:lang w:eastAsia="en-AU"/>
        </w:rPr>
        <w:t xml:space="preserve"> or Review</w:t>
      </w:r>
      <w:r w:rsidRPr="0002753E">
        <w:rPr>
          <w:rFonts w:ascii="Calibri" w:eastAsia="Times New Roman" w:hAnsi="Calibri" w:cs="Calibri"/>
          <w:sz w:val="22"/>
          <w:szCs w:val="22"/>
          <w:lang w:eastAsia="en-AU"/>
        </w:rPr>
        <w:t xml:space="preserve"> Panel, that does not involve clinical examination of the injured person, must be by prior advice to the parties to the dispute.</w:t>
      </w:r>
    </w:p>
    <w:p w14:paraId="722BE9C8"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19B488F5" w14:textId="77777777" w:rsidR="00BA3697" w:rsidRPr="0002753E" w:rsidRDefault="00BA3697" w:rsidP="00BA3697">
      <w:p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Irrespective of whether they have been provided to the other party, an Assessment Panel or Review Panel may take into consideration any such radiological scans </w:t>
      </w:r>
      <w:r w:rsidR="009D55EC">
        <w:rPr>
          <w:rFonts w:ascii="Calibri" w:eastAsia="Times New Roman" w:hAnsi="Calibri" w:cs="Calibri"/>
          <w:sz w:val="22"/>
          <w:szCs w:val="22"/>
          <w:lang w:eastAsia="en-AU"/>
        </w:rPr>
        <w:t xml:space="preserve">or similar investigations </w:t>
      </w:r>
      <w:r w:rsidRPr="0002753E">
        <w:rPr>
          <w:rFonts w:ascii="Calibri" w:eastAsia="Times New Roman" w:hAnsi="Calibri" w:cs="Calibri"/>
          <w:sz w:val="22"/>
          <w:szCs w:val="22"/>
          <w:lang w:eastAsia="en-AU"/>
        </w:rPr>
        <w:t xml:space="preserve">and their accompanying reports that are present at a clinical examination. </w:t>
      </w:r>
    </w:p>
    <w:p w14:paraId="3DF6D6AD"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4196831D" w14:textId="77777777" w:rsidR="00BA3697" w:rsidRPr="0002753E" w:rsidRDefault="00BA3697" w:rsidP="00BA3697">
      <w:pPr>
        <w:keepNext/>
        <w:keepLines/>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All matters pertaining to a dispute about eligibility, including clinical assessment, are conducted in private and are not open to the public. Any part of an </w:t>
      </w:r>
      <w:r w:rsidR="00F0103F">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or </w:t>
      </w:r>
      <w:r w:rsidR="00F0103F">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F0103F">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assessment process and certificate is not open to, or available to, the public. </w:t>
      </w:r>
    </w:p>
    <w:p w14:paraId="4630C853" w14:textId="77777777" w:rsidR="00BA3697" w:rsidRPr="0002753E" w:rsidRDefault="00BA3697" w:rsidP="00BA3697">
      <w:pPr>
        <w:autoSpaceDE w:val="0"/>
        <w:autoSpaceDN w:val="0"/>
        <w:snapToGrid/>
        <w:spacing w:line="360" w:lineRule="auto"/>
        <w:rPr>
          <w:rFonts w:ascii="Calibri" w:eastAsia="Times New Roman" w:hAnsi="Calibri" w:cs="Calibri"/>
          <w:b/>
          <w:sz w:val="22"/>
          <w:szCs w:val="22"/>
          <w:lang w:eastAsia="en-AU"/>
        </w:rPr>
      </w:pPr>
    </w:p>
    <w:p w14:paraId="5881FB5B" w14:textId="77777777" w:rsidR="00BA3697" w:rsidRPr="0002753E" w:rsidRDefault="00BA3697" w:rsidP="00BA3697">
      <w:pPr>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Surveillance images</w:t>
      </w:r>
    </w:p>
    <w:p w14:paraId="0D94BEC8" w14:textId="77777777" w:rsidR="00BA3697" w:rsidRPr="0002753E" w:rsidRDefault="00BA3697" w:rsidP="00BA3697">
      <w:p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Surveillance images that are provided by </w:t>
      </w:r>
      <w:r w:rsidR="00D75A3F">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 party to the dispute must:</w:t>
      </w:r>
    </w:p>
    <w:p w14:paraId="1E67C7A4" w14:textId="77777777" w:rsidR="00BA3697" w:rsidRPr="0002753E" w:rsidRDefault="00BA3697" w:rsidP="00BA3697">
      <w:pPr>
        <w:widowControl w:val="0"/>
        <w:numPr>
          <w:ilvl w:val="0"/>
          <w:numId w:val="1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be provided </w:t>
      </w:r>
      <w:r w:rsidR="00017898">
        <w:rPr>
          <w:rFonts w:ascii="Calibri" w:eastAsia="Times New Roman" w:hAnsi="Calibri" w:cs="Calibri"/>
          <w:sz w:val="22"/>
          <w:szCs w:val="22"/>
          <w:lang w:eastAsia="en-AU"/>
        </w:rPr>
        <w:t>electronically</w:t>
      </w:r>
      <w:r w:rsidRPr="0002753E">
        <w:rPr>
          <w:rFonts w:ascii="Calibri" w:eastAsia="Times New Roman" w:hAnsi="Calibri" w:cs="Calibri"/>
          <w:sz w:val="22"/>
          <w:szCs w:val="22"/>
          <w:lang w:eastAsia="en-AU"/>
        </w:rPr>
        <w:t xml:space="preserve"> </w:t>
      </w:r>
      <w:r w:rsidR="009D55EC">
        <w:rPr>
          <w:rFonts w:ascii="Calibri" w:eastAsia="Times New Roman" w:hAnsi="Calibri" w:cs="Calibri"/>
          <w:sz w:val="22"/>
          <w:szCs w:val="22"/>
          <w:lang w:eastAsia="en-AU"/>
        </w:rPr>
        <w:t xml:space="preserve">in a </w:t>
      </w:r>
      <w:r w:rsidRPr="0002753E">
        <w:rPr>
          <w:rFonts w:ascii="Calibri" w:eastAsia="Times New Roman" w:hAnsi="Calibri" w:cs="Calibri"/>
          <w:sz w:val="22"/>
          <w:szCs w:val="22"/>
          <w:lang w:eastAsia="en-AU"/>
        </w:rPr>
        <w:t>format</w:t>
      </w:r>
      <w:r w:rsidR="009D55EC">
        <w:rPr>
          <w:rFonts w:ascii="Calibri" w:eastAsia="Times New Roman" w:hAnsi="Calibri" w:cs="Calibri"/>
          <w:sz w:val="22"/>
          <w:szCs w:val="22"/>
          <w:lang w:eastAsia="en-AU"/>
        </w:rPr>
        <w:t xml:space="preserve"> readily viewable on a standard desktop computer</w:t>
      </w:r>
      <w:r w:rsidRPr="0002753E">
        <w:rPr>
          <w:rFonts w:ascii="Calibri" w:eastAsia="Times New Roman" w:hAnsi="Calibri" w:cs="Calibri"/>
          <w:sz w:val="22"/>
          <w:szCs w:val="22"/>
          <w:lang w:eastAsia="en-AU"/>
        </w:rPr>
        <w:t>;</w:t>
      </w:r>
      <w:r w:rsidR="009D55EC">
        <w:rPr>
          <w:rFonts w:ascii="Calibri" w:eastAsia="Times New Roman" w:hAnsi="Calibri" w:cs="Calibri"/>
          <w:sz w:val="22"/>
          <w:szCs w:val="22"/>
          <w:lang w:eastAsia="en-AU"/>
        </w:rPr>
        <w:t xml:space="preserve"> and</w:t>
      </w:r>
    </w:p>
    <w:p w14:paraId="0E628EE9" w14:textId="77777777" w:rsidR="009D55EC" w:rsidRDefault="00BA3697" w:rsidP="009D55EC">
      <w:pPr>
        <w:widowControl w:val="0"/>
        <w:numPr>
          <w:ilvl w:val="0"/>
          <w:numId w:val="1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be accompanied by any investigator's or loss adjuster's report concerning those surveillance images</w:t>
      </w:r>
      <w:r w:rsidR="009D55EC">
        <w:rPr>
          <w:rFonts w:ascii="Calibri" w:eastAsia="Times New Roman" w:hAnsi="Calibri" w:cs="Calibri"/>
          <w:sz w:val="22"/>
          <w:szCs w:val="22"/>
          <w:lang w:eastAsia="en-AU"/>
        </w:rPr>
        <w:t xml:space="preserve">. </w:t>
      </w:r>
    </w:p>
    <w:p w14:paraId="76113A30" w14:textId="77777777" w:rsidR="00BA3697" w:rsidRPr="009D55EC" w:rsidRDefault="009D55EC" w:rsidP="009D55EC">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T</w:t>
      </w:r>
      <w:r w:rsidR="00BA3697" w:rsidRPr="009D55EC">
        <w:rPr>
          <w:rFonts w:ascii="Calibri" w:eastAsia="Times New Roman" w:hAnsi="Calibri" w:cs="Calibri"/>
          <w:sz w:val="22"/>
          <w:szCs w:val="22"/>
          <w:lang w:eastAsia="en-AU"/>
        </w:rPr>
        <w:t xml:space="preserve">he other party </w:t>
      </w:r>
      <w:r>
        <w:rPr>
          <w:rFonts w:ascii="Calibri" w:eastAsia="Times New Roman" w:hAnsi="Calibri" w:cs="Calibri"/>
          <w:sz w:val="22"/>
          <w:szCs w:val="22"/>
          <w:lang w:eastAsia="en-AU"/>
        </w:rPr>
        <w:t>will be</w:t>
      </w:r>
      <w:r w:rsidR="00BA3697" w:rsidRPr="009D55EC">
        <w:rPr>
          <w:rFonts w:ascii="Calibri" w:eastAsia="Times New Roman" w:hAnsi="Calibri" w:cs="Calibri"/>
          <w:sz w:val="22"/>
          <w:szCs w:val="22"/>
          <w:lang w:eastAsia="en-AU"/>
        </w:rPr>
        <w:t xml:space="preserve"> provided with </w:t>
      </w:r>
      <w:r>
        <w:rPr>
          <w:rFonts w:ascii="Calibri" w:eastAsia="Times New Roman" w:hAnsi="Calibri" w:cs="Calibri"/>
          <w:sz w:val="22"/>
          <w:szCs w:val="22"/>
          <w:lang w:eastAsia="en-AU"/>
        </w:rPr>
        <w:t xml:space="preserve">the surveillance images and be given </w:t>
      </w:r>
      <w:r w:rsidR="00BA3697" w:rsidRPr="009D55EC">
        <w:rPr>
          <w:rFonts w:ascii="Calibri" w:eastAsia="Times New Roman" w:hAnsi="Calibri" w:cs="Calibri"/>
          <w:sz w:val="22"/>
          <w:szCs w:val="22"/>
          <w:lang w:eastAsia="en-AU"/>
        </w:rPr>
        <w:t>an opportunity to put forward submissions in response to the surveillance images.</w:t>
      </w:r>
    </w:p>
    <w:p w14:paraId="0DF23076"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1F39DD6F"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Lifetime Care does not conduct surveillance on participants.</w:t>
      </w:r>
    </w:p>
    <w:p w14:paraId="09F0B881"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2E2E3C8"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4"/>
          <w:szCs w:val="24"/>
          <w:lang w:eastAsia="en-AU"/>
        </w:rPr>
      </w:pPr>
      <w:bookmarkStart w:id="18" w:name="_Toc325044385"/>
      <w:bookmarkEnd w:id="15"/>
      <w:r w:rsidRPr="0002753E">
        <w:rPr>
          <w:rFonts w:ascii="Calibri" w:eastAsia="Times New Roman" w:hAnsi="Calibri" w:cs="Calibri"/>
          <w:b/>
          <w:sz w:val="22"/>
          <w:szCs w:val="22"/>
          <w:lang w:eastAsia="en-AU"/>
        </w:rPr>
        <w:t>1</w:t>
      </w:r>
      <w:r w:rsidRPr="0002753E">
        <w:rPr>
          <w:rFonts w:ascii="Calibri" w:eastAsia="Times New Roman" w:hAnsi="Calibri" w:cs="Calibri"/>
          <w:b/>
          <w:sz w:val="22"/>
          <w:szCs w:val="22"/>
          <w:lang w:eastAsia="en-AU"/>
        </w:rPr>
        <w:tab/>
        <w:t>Disputes about eligibility: jurisdiction</w:t>
      </w:r>
      <w:bookmarkEnd w:id="18"/>
      <w:r w:rsidRPr="0002753E">
        <w:rPr>
          <w:rFonts w:ascii="Calibri" w:eastAsia="Times New Roman" w:hAnsi="Calibri" w:cs="Calibri"/>
          <w:b/>
          <w:sz w:val="22"/>
          <w:szCs w:val="22"/>
          <w:lang w:eastAsia="en-AU"/>
        </w:rPr>
        <w:t xml:space="preserve">  </w:t>
      </w:r>
    </w:p>
    <w:p w14:paraId="05497555" w14:textId="77777777" w:rsidR="00BA3697" w:rsidRPr="0002753E" w:rsidRDefault="00BA3697" w:rsidP="00BA3697">
      <w:pPr>
        <w:spacing w:line="360" w:lineRule="auto"/>
        <w:ind w:left="720" w:hanging="720"/>
        <w:rPr>
          <w:rFonts w:ascii="Calibri" w:hAnsi="Calibri" w:cs="Calibri"/>
          <w:sz w:val="22"/>
          <w:szCs w:val="22"/>
        </w:rPr>
      </w:pPr>
      <w:r w:rsidRPr="0002753E">
        <w:rPr>
          <w:rFonts w:ascii="Calibri" w:hAnsi="Calibri" w:cs="Calibri"/>
          <w:sz w:val="22"/>
          <w:szCs w:val="22"/>
        </w:rPr>
        <w:t xml:space="preserve">1.1 </w:t>
      </w:r>
      <w:r w:rsidRPr="0002753E">
        <w:rPr>
          <w:rFonts w:ascii="Calibri" w:hAnsi="Calibri" w:cs="Calibri"/>
          <w:sz w:val="22"/>
          <w:szCs w:val="22"/>
        </w:rPr>
        <w:tab/>
        <w:t xml:space="preserve">As per section 14(1) of the Act, a dispute about eligibility is a disagreement about whether a motor accident injury suffered by a person satisfies criteria specified in the Guidelines for eligibility for participation in the Scheme.  </w:t>
      </w:r>
    </w:p>
    <w:p w14:paraId="6E26F327" w14:textId="77777777" w:rsidR="00BA3697" w:rsidRPr="0002753E" w:rsidRDefault="00BA3697" w:rsidP="00BA3697">
      <w:pPr>
        <w:spacing w:line="360" w:lineRule="auto"/>
        <w:ind w:left="720" w:hanging="720"/>
        <w:rPr>
          <w:rFonts w:ascii="Calibri" w:hAnsi="Calibri" w:cs="Calibri"/>
          <w:sz w:val="22"/>
          <w:szCs w:val="22"/>
        </w:rPr>
      </w:pPr>
      <w:r w:rsidRPr="0002753E">
        <w:rPr>
          <w:rFonts w:ascii="Calibri" w:hAnsi="Calibri" w:cs="Calibri"/>
          <w:sz w:val="22"/>
          <w:szCs w:val="22"/>
        </w:rPr>
        <w:lastRenderedPageBreak/>
        <w:t>1.2</w:t>
      </w:r>
      <w:r w:rsidRPr="0002753E">
        <w:rPr>
          <w:rFonts w:ascii="Calibri" w:hAnsi="Calibri" w:cs="Calibri"/>
          <w:sz w:val="22"/>
          <w:szCs w:val="22"/>
        </w:rPr>
        <w:tab/>
        <w:t xml:space="preserve">A dispute application can only be made after Lifetime Care has notified the injured person in writing of its determination whether the injured person is or is not eligible to be a participant in the Scheme in relation to the injury criteria outlined in the Guidelines.  </w:t>
      </w:r>
    </w:p>
    <w:p w14:paraId="674AFEA0"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1.3</w:t>
      </w:r>
      <w:r w:rsidRPr="0002753E">
        <w:rPr>
          <w:rFonts w:ascii="Calibri" w:eastAsia="Times New Roman" w:hAnsi="Calibri" w:cs="Calibri"/>
          <w:sz w:val="22"/>
          <w:szCs w:val="22"/>
          <w:lang w:eastAsia="en-AU"/>
        </w:rPr>
        <w:tab/>
        <w:t xml:space="preserve">A dispute application must be received within 6 months of the date of Lifetime Care’s determination.   </w:t>
      </w:r>
    </w:p>
    <w:p w14:paraId="431729D9" w14:textId="1A3682DC"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1.4 </w:t>
      </w:r>
      <w:r w:rsidRPr="0002753E">
        <w:rPr>
          <w:rFonts w:ascii="Calibri" w:eastAsia="Times New Roman" w:hAnsi="Calibri" w:cs="Calibri"/>
          <w:sz w:val="22"/>
          <w:szCs w:val="22"/>
          <w:lang w:eastAsia="en-AU"/>
        </w:rPr>
        <w:tab/>
        <w:t>Lifetime Care may extend the 6</w:t>
      </w:r>
      <w:r w:rsidR="00B37337">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month time limit if there is a full and satisfactory explanation for why the application was not made within 6 months of the determination. </w:t>
      </w:r>
    </w:p>
    <w:p w14:paraId="6AAD4EFC" w14:textId="3846E1F4"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bCs/>
          <w:sz w:val="22"/>
          <w:szCs w:val="22"/>
          <w:lang w:eastAsia="en-AU"/>
        </w:rPr>
        <w:t>1.5</w:t>
      </w:r>
      <w:r w:rsidRPr="0002753E">
        <w:rPr>
          <w:rFonts w:ascii="Calibri" w:eastAsia="Times New Roman" w:hAnsi="Calibri" w:cs="Calibri"/>
          <w:sz w:val="22"/>
          <w:szCs w:val="22"/>
          <w:lang w:eastAsia="en-AU"/>
        </w:rPr>
        <w:tab/>
        <w:t>Lifetime Care may reject a</w:t>
      </w:r>
      <w:r w:rsidR="009D55EC">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 xml:space="preserve">dispute application if Lifetime Care is satisfied that </w:t>
      </w:r>
      <w:r w:rsidR="009D55EC">
        <w:rPr>
          <w:rFonts w:ascii="Calibri" w:eastAsia="Times New Roman" w:hAnsi="Calibri" w:cs="Calibri"/>
          <w:sz w:val="22"/>
          <w:szCs w:val="22"/>
          <w:lang w:eastAsia="en-AU"/>
        </w:rPr>
        <w:t xml:space="preserve">one </w:t>
      </w:r>
      <w:r w:rsidR="00901945">
        <w:rPr>
          <w:rFonts w:ascii="Calibri" w:eastAsia="Times New Roman" w:hAnsi="Calibri" w:cs="Calibri"/>
          <w:sz w:val="22"/>
          <w:szCs w:val="22"/>
          <w:lang w:eastAsia="en-AU"/>
        </w:rPr>
        <w:t xml:space="preserve">or </w:t>
      </w:r>
      <w:r w:rsidR="009D55EC">
        <w:rPr>
          <w:rFonts w:ascii="Calibri" w:eastAsia="Times New Roman" w:hAnsi="Calibri" w:cs="Calibri"/>
          <w:sz w:val="22"/>
          <w:szCs w:val="22"/>
          <w:lang w:eastAsia="en-AU"/>
        </w:rPr>
        <w:t>more of the following apply</w:t>
      </w:r>
      <w:r w:rsidRPr="0002753E">
        <w:rPr>
          <w:rFonts w:ascii="Calibri" w:eastAsia="Times New Roman" w:hAnsi="Calibri" w:cs="Calibri"/>
          <w:sz w:val="22"/>
          <w:szCs w:val="22"/>
          <w:lang w:eastAsia="en-AU"/>
        </w:rPr>
        <w:t>:</w:t>
      </w:r>
    </w:p>
    <w:p w14:paraId="15BBFBA2" w14:textId="77777777" w:rsidR="00BA3697" w:rsidRPr="0002753E" w:rsidRDefault="009D55EC" w:rsidP="00BA3697">
      <w:pPr>
        <w:widowControl w:val="0"/>
        <w:numPr>
          <w:ilvl w:val="0"/>
          <w:numId w:val="20"/>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dispute application </w:t>
      </w:r>
      <w:r w:rsidR="00BA3697" w:rsidRPr="0002753E">
        <w:rPr>
          <w:rFonts w:ascii="Calibri" w:eastAsia="Times New Roman" w:hAnsi="Calibri" w:cs="Calibri"/>
          <w:sz w:val="22"/>
          <w:szCs w:val="22"/>
          <w:lang w:eastAsia="en-AU"/>
        </w:rPr>
        <w:t>does not</w:t>
      </w:r>
      <w:r w:rsidR="00F13556">
        <w:rPr>
          <w:rFonts w:ascii="Calibri" w:eastAsia="Times New Roman" w:hAnsi="Calibri" w:cs="Calibri"/>
          <w:sz w:val="22"/>
          <w:szCs w:val="22"/>
          <w:lang w:eastAsia="en-AU"/>
        </w:rPr>
        <w:t>, on its face</w:t>
      </w:r>
      <w:r>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relate</w:t>
      </w:r>
      <w:r w:rsidR="00BA3697" w:rsidRPr="0002753E">
        <w:rPr>
          <w:rFonts w:ascii="Calibri" w:eastAsia="Times New Roman" w:hAnsi="Calibri" w:cs="Calibri"/>
          <w:sz w:val="22"/>
          <w:szCs w:val="22"/>
          <w:lang w:eastAsia="en-AU"/>
        </w:rPr>
        <w:t xml:space="preserve"> to a dispute about eligibility;</w:t>
      </w:r>
    </w:p>
    <w:p w14:paraId="67B12069" w14:textId="77777777" w:rsidR="00BA3697" w:rsidRPr="0002753E" w:rsidRDefault="009D55EC" w:rsidP="00BA3697">
      <w:pPr>
        <w:widowControl w:val="0"/>
        <w:numPr>
          <w:ilvl w:val="0"/>
          <w:numId w:val="20"/>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dispute application </w:t>
      </w:r>
      <w:r w:rsidR="00BA3697" w:rsidRPr="0002753E">
        <w:rPr>
          <w:rFonts w:ascii="Calibri" w:eastAsia="Times New Roman" w:hAnsi="Calibri" w:cs="Calibri"/>
          <w:sz w:val="22"/>
          <w:szCs w:val="22"/>
          <w:lang w:eastAsia="en-AU"/>
        </w:rPr>
        <w:t>has not been made by</w:t>
      </w:r>
      <w:r>
        <w:rPr>
          <w:rFonts w:ascii="Calibri" w:eastAsia="Times New Roman" w:hAnsi="Calibri" w:cs="Calibri"/>
          <w:sz w:val="22"/>
          <w:szCs w:val="22"/>
          <w:lang w:eastAsia="en-AU"/>
        </w:rPr>
        <w:t xml:space="preserve"> a</w:t>
      </w:r>
      <w:r w:rsidR="00BA3697" w:rsidRPr="0002753E">
        <w:rPr>
          <w:rFonts w:ascii="Calibri" w:eastAsia="Times New Roman" w:hAnsi="Calibri" w:cs="Calibri"/>
          <w:sz w:val="22"/>
          <w:szCs w:val="22"/>
          <w:lang w:eastAsia="en-AU"/>
        </w:rPr>
        <w:t xml:space="preserve"> person specified in section 14 (2) of the Act;  </w:t>
      </w:r>
    </w:p>
    <w:p w14:paraId="11353C95" w14:textId="125711AE" w:rsidR="00BA3697" w:rsidRDefault="009D55EC" w:rsidP="00BA3697">
      <w:pPr>
        <w:widowControl w:val="0"/>
        <w:numPr>
          <w:ilvl w:val="0"/>
          <w:numId w:val="20"/>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dispute application </w:t>
      </w:r>
      <w:r w:rsidR="00BA3697" w:rsidRPr="0002753E">
        <w:rPr>
          <w:rFonts w:ascii="Calibri" w:eastAsia="Times New Roman" w:hAnsi="Calibri" w:cs="Calibri"/>
          <w:sz w:val="22"/>
          <w:szCs w:val="22"/>
          <w:lang w:eastAsia="en-AU"/>
        </w:rPr>
        <w:t>has not been made within 6 months of receipt of the determination about eligibility</w:t>
      </w:r>
      <w:r>
        <w:rPr>
          <w:rFonts w:ascii="Calibri" w:eastAsia="Times New Roman" w:hAnsi="Calibri" w:cs="Calibri"/>
          <w:sz w:val="22"/>
          <w:szCs w:val="22"/>
          <w:lang w:eastAsia="en-AU"/>
        </w:rPr>
        <w:t>.</w:t>
      </w:r>
    </w:p>
    <w:p w14:paraId="4261CAD7" w14:textId="77777777" w:rsidR="00AA4A97" w:rsidRDefault="00AA4A97" w:rsidP="009D55EC">
      <w:pPr>
        <w:widowControl w:val="0"/>
        <w:autoSpaceDE w:val="0"/>
        <w:autoSpaceDN w:val="0"/>
        <w:snapToGrid/>
        <w:spacing w:line="360" w:lineRule="auto"/>
        <w:rPr>
          <w:rFonts w:ascii="Calibri" w:eastAsia="Times New Roman" w:hAnsi="Calibri" w:cs="Calibri"/>
          <w:sz w:val="22"/>
          <w:szCs w:val="22"/>
          <w:lang w:eastAsia="en-AU"/>
        </w:rPr>
      </w:pPr>
    </w:p>
    <w:p w14:paraId="3CAF621D" w14:textId="77777777" w:rsidR="009D55EC" w:rsidRPr="00AA4A97" w:rsidRDefault="00AA4A97" w:rsidP="009D55EC">
      <w:pPr>
        <w:widowControl w:val="0"/>
        <w:autoSpaceDE w:val="0"/>
        <w:autoSpaceDN w:val="0"/>
        <w:snapToGrid/>
        <w:spacing w:line="360" w:lineRule="auto"/>
        <w:rPr>
          <w:rFonts w:ascii="Calibri" w:eastAsia="Times New Roman" w:hAnsi="Calibri" w:cs="Calibri"/>
          <w:b/>
          <w:sz w:val="22"/>
          <w:szCs w:val="22"/>
          <w:lang w:eastAsia="en-AU"/>
        </w:rPr>
      </w:pPr>
      <w:bookmarkStart w:id="19" w:name="_Hlk517864274"/>
      <w:r w:rsidRPr="00AA4A97">
        <w:rPr>
          <w:rFonts w:ascii="Calibri" w:eastAsia="Times New Roman" w:hAnsi="Calibri" w:cs="Calibri"/>
          <w:b/>
          <w:sz w:val="22"/>
          <w:szCs w:val="22"/>
          <w:lang w:eastAsia="en-AU"/>
        </w:rPr>
        <w:t>2</w:t>
      </w:r>
      <w:r w:rsidRPr="00AA4A97">
        <w:rPr>
          <w:rFonts w:ascii="Calibri" w:eastAsia="Times New Roman" w:hAnsi="Calibri" w:cs="Calibri"/>
          <w:b/>
          <w:sz w:val="22"/>
          <w:szCs w:val="22"/>
          <w:lang w:eastAsia="en-AU"/>
        </w:rPr>
        <w:tab/>
      </w:r>
      <w:r w:rsidR="009D55EC" w:rsidRPr="00AA4A97">
        <w:rPr>
          <w:rFonts w:ascii="Calibri" w:eastAsia="Times New Roman" w:hAnsi="Calibri" w:cs="Calibri"/>
          <w:b/>
          <w:sz w:val="22"/>
          <w:szCs w:val="22"/>
          <w:lang w:eastAsia="en-AU"/>
        </w:rPr>
        <w:t>Altern</w:t>
      </w:r>
      <w:r w:rsidRPr="00AA4A97">
        <w:rPr>
          <w:rFonts w:ascii="Calibri" w:eastAsia="Times New Roman" w:hAnsi="Calibri" w:cs="Calibri"/>
          <w:b/>
          <w:sz w:val="22"/>
          <w:szCs w:val="22"/>
          <w:lang w:eastAsia="en-AU"/>
        </w:rPr>
        <w:t>ative to dispute application</w:t>
      </w:r>
    </w:p>
    <w:p w14:paraId="2F53BB5E" w14:textId="77777777" w:rsidR="00AA4A97" w:rsidRPr="00AA4A97" w:rsidRDefault="00AA4A97" w:rsidP="00AA4A97">
      <w:pPr>
        <w:widowControl w:val="0"/>
        <w:autoSpaceDE w:val="0"/>
        <w:autoSpaceDN w:val="0"/>
        <w:snapToGrid/>
        <w:spacing w:line="360" w:lineRule="auto"/>
        <w:ind w:left="720" w:hanging="720"/>
        <w:rPr>
          <w:rFonts w:ascii="Calibri" w:eastAsia="Times New Roman" w:hAnsi="Calibri" w:cs="Calibri"/>
          <w:sz w:val="22"/>
          <w:szCs w:val="22"/>
          <w:lang w:eastAsia="en-AU"/>
        </w:rPr>
      </w:pPr>
      <w:bookmarkStart w:id="20" w:name="_Toc325044386"/>
      <w:r>
        <w:rPr>
          <w:rFonts w:ascii="Calibri" w:eastAsia="Times New Roman" w:hAnsi="Calibri" w:cs="Calibri"/>
          <w:sz w:val="22"/>
          <w:szCs w:val="22"/>
          <w:lang w:eastAsia="en-AU"/>
        </w:rPr>
        <w:t>2</w:t>
      </w:r>
      <w:r w:rsidRPr="00AA4A97">
        <w:rPr>
          <w:rFonts w:ascii="Calibri" w:eastAsia="Times New Roman" w:hAnsi="Calibri" w:cs="Calibri"/>
          <w:sz w:val="22"/>
          <w:szCs w:val="22"/>
          <w:lang w:eastAsia="en-AU"/>
        </w:rPr>
        <w:t>.1</w:t>
      </w:r>
      <w:r w:rsidRPr="00AA4A97">
        <w:rPr>
          <w:rFonts w:ascii="Calibri" w:eastAsia="Times New Roman" w:hAnsi="Calibri" w:cs="Calibri"/>
          <w:sz w:val="22"/>
          <w:szCs w:val="22"/>
          <w:lang w:eastAsia="en-AU"/>
        </w:rPr>
        <w:tab/>
        <w:t xml:space="preserve">In a case where </w:t>
      </w:r>
      <w:r w:rsidRPr="00AA4A97">
        <w:rPr>
          <w:rFonts w:ascii="Calibri" w:hAnsi="Calibri"/>
          <w:sz w:val="22"/>
          <w:szCs w:val="22"/>
        </w:rPr>
        <w:t>the injured person is not an interim or lifetime participant at the time of the dispute application</w:t>
      </w:r>
      <w:r w:rsidRPr="00AA4A97">
        <w:rPr>
          <w:rFonts w:ascii="Calibri" w:eastAsia="Times New Roman" w:hAnsi="Calibri" w:cs="Calibri"/>
          <w:sz w:val="22"/>
          <w:szCs w:val="22"/>
          <w:lang w:eastAsia="en-AU"/>
        </w:rPr>
        <w:t>, if Lifetime Care forms the view that one or both of the following applies:</w:t>
      </w:r>
    </w:p>
    <w:p w14:paraId="3A47CDE8" w14:textId="77777777" w:rsidR="00AA4A97" w:rsidRPr="00AA4A97" w:rsidRDefault="00AA4A97" w:rsidP="00AA4A9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AA4A97">
        <w:rPr>
          <w:rFonts w:ascii="Calibri" w:eastAsia="Times New Roman" w:hAnsi="Calibri" w:cs="Calibri"/>
          <w:sz w:val="22"/>
          <w:szCs w:val="22"/>
          <w:lang w:eastAsia="en-AU"/>
        </w:rPr>
        <w:t xml:space="preserve">the dispute application contains information that may allow Lifetime Care to make an eligibility decision if the injured person is not an interim or lifetime participant at the time of the dispute application; </w:t>
      </w:r>
    </w:p>
    <w:p w14:paraId="6FB2FF11" w14:textId="77777777" w:rsidR="00AA4A97" w:rsidRPr="00AA4A97" w:rsidRDefault="00AA4A97" w:rsidP="00AA4A97">
      <w:pPr>
        <w:widowControl w:val="0"/>
        <w:numPr>
          <w:ilvl w:val="0"/>
          <w:numId w:val="38"/>
        </w:numPr>
        <w:autoSpaceDE w:val="0"/>
        <w:autoSpaceDN w:val="0"/>
        <w:snapToGrid/>
        <w:spacing w:line="360" w:lineRule="auto"/>
        <w:rPr>
          <w:rFonts w:ascii="Calibri" w:eastAsia="Times New Roman" w:hAnsi="Calibri" w:cs="Calibri"/>
          <w:sz w:val="22"/>
          <w:szCs w:val="22"/>
          <w:lang w:eastAsia="en-AU"/>
        </w:rPr>
      </w:pPr>
      <w:r w:rsidRPr="00AA4A97">
        <w:rPr>
          <w:rFonts w:ascii="Calibri" w:eastAsia="Times New Roman" w:hAnsi="Calibri" w:cs="Calibri"/>
          <w:sz w:val="22"/>
          <w:szCs w:val="22"/>
          <w:lang w:eastAsia="en-AU"/>
        </w:rPr>
        <w:t xml:space="preserve">circumstances revealed by the dispute application are such that Lifetime Care considers it preferable that the dispute applicant lodge another application to the Scheme instead of a dispute application,  </w:t>
      </w:r>
    </w:p>
    <w:p w14:paraId="40F01B73" w14:textId="77777777" w:rsidR="00AA4A97" w:rsidRPr="00AA4A97" w:rsidRDefault="00AA4A97" w:rsidP="00AA4A97">
      <w:pPr>
        <w:pStyle w:val="Default"/>
        <w:spacing w:line="360" w:lineRule="auto"/>
        <w:ind w:left="720"/>
        <w:rPr>
          <w:rFonts w:ascii="Calibri" w:hAnsi="Calibri"/>
          <w:color w:val="auto"/>
          <w:sz w:val="22"/>
          <w:szCs w:val="22"/>
        </w:rPr>
      </w:pPr>
      <w:r w:rsidRPr="00AA4A97">
        <w:rPr>
          <w:rFonts w:ascii="Calibri" w:hAnsi="Calibri"/>
          <w:color w:val="auto"/>
          <w:sz w:val="22"/>
          <w:szCs w:val="22"/>
        </w:rPr>
        <w:t xml:space="preserve">then Lifetime Care may invite the dispute applicant to withdraw the dispute application and, in that case, the dispute applicant may: </w:t>
      </w:r>
    </w:p>
    <w:p w14:paraId="5659D062" w14:textId="77777777" w:rsidR="00AA4A97" w:rsidRPr="00AA4A97" w:rsidRDefault="00AA4A97" w:rsidP="00AA4A97">
      <w:pPr>
        <w:widowControl w:val="0"/>
        <w:numPr>
          <w:ilvl w:val="0"/>
          <w:numId w:val="38"/>
        </w:numPr>
        <w:autoSpaceDE w:val="0"/>
        <w:autoSpaceDN w:val="0"/>
        <w:snapToGrid/>
        <w:spacing w:line="360" w:lineRule="auto"/>
        <w:rPr>
          <w:rFonts w:ascii="Calibri" w:hAnsi="Calibri"/>
          <w:sz w:val="22"/>
          <w:szCs w:val="22"/>
        </w:rPr>
      </w:pPr>
      <w:r w:rsidRPr="00AA4A97">
        <w:rPr>
          <w:rFonts w:ascii="Calibri" w:hAnsi="Calibri"/>
          <w:sz w:val="22"/>
          <w:szCs w:val="22"/>
        </w:rPr>
        <w:t xml:space="preserve">request that the dispute application be treated as a </w:t>
      </w:r>
      <w:r w:rsidR="00F93DAB">
        <w:rPr>
          <w:rFonts w:ascii="Calibri" w:hAnsi="Calibri"/>
          <w:sz w:val="22"/>
          <w:szCs w:val="22"/>
        </w:rPr>
        <w:t>new</w:t>
      </w:r>
      <w:r w:rsidRPr="00AA4A97">
        <w:rPr>
          <w:rFonts w:ascii="Calibri" w:hAnsi="Calibri"/>
          <w:sz w:val="22"/>
          <w:szCs w:val="22"/>
        </w:rPr>
        <w:t xml:space="preserve"> application to the Scheme; or</w:t>
      </w:r>
    </w:p>
    <w:p w14:paraId="4E9C35FD" w14:textId="77777777" w:rsidR="00AA4A97" w:rsidRPr="00AA4A97" w:rsidRDefault="00AA4A97" w:rsidP="00AA4A97">
      <w:pPr>
        <w:widowControl w:val="0"/>
        <w:numPr>
          <w:ilvl w:val="0"/>
          <w:numId w:val="38"/>
        </w:numPr>
        <w:autoSpaceDE w:val="0"/>
        <w:autoSpaceDN w:val="0"/>
        <w:snapToGrid/>
        <w:spacing w:line="360" w:lineRule="auto"/>
        <w:rPr>
          <w:rFonts w:ascii="Calibri" w:hAnsi="Calibri"/>
          <w:sz w:val="22"/>
          <w:szCs w:val="22"/>
        </w:rPr>
      </w:pPr>
      <w:r w:rsidRPr="00AA4A97">
        <w:rPr>
          <w:rFonts w:ascii="Calibri" w:hAnsi="Calibri"/>
          <w:sz w:val="22"/>
          <w:szCs w:val="22"/>
        </w:rPr>
        <w:t xml:space="preserve">lodge a </w:t>
      </w:r>
      <w:r w:rsidR="00F93DAB">
        <w:rPr>
          <w:rFonts w:ascii="Calibri" w:hAnsi="Calibri"/>
          <w:sz w:val="22"/>
          <w:szCs w:val="22"/>
        </w:rPr>
        <w:t>new</w:t>
      </w:r>
      <w:r w:rsidRPr="00AA4A97">
        <w:rPr>
          <w:rFonts w:ascii="Calibri" w:hAnsi="Calibri"/>
          <w:sz w:val="22"/>
          <w:szCs w:val="22"/>
        </w:rPr>
        <w:t xml:space="preserve"> application to the Scheme.</w:t>
      </w:r>
    </w:p>
    <w:p w14:paraId="59D00473" w14:textId="77777777" w:rsidR="00AA4A97" w:rsidRPr="00AA4A97" w:rsidRDefault="00AA4A97" w:rsidP="00AA4A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w:t>
      </w:r>
      <w:r w:rsidRPr="00AA4A97">
        <w:rPr>
          <w:rFonts w:ascii="Calibri" w:eastAsia="Times New Roman" w:hAnsi="Calibri" w:cs="Calibri"/>
          <w:sz w:val="22"/>
          <w:szCs w:val="22"/>
          <w:lang w:eastAsia="en-AU"/>
        </w:rPr>
        <w:t>.2</w:t>
      </w:r>
      <w:r w:rsidRPr="00AA4A97">
        <w:rPr>
          <w:rFonts w:ascii="Calibri" w:eastAsia="Times New Roman" w:hAnsi="Calibri" w:cs="Calibri"/>
          <w:sz w:val="22"/>
          <w:szCs w:val="22"/>
          <w:lang w:eastAsia="en-AU"/>
        </w:rPr>
        <w:tab/>
        <w:t xml:space="preserve">If a dispute applicant requests that the dispute application be treated as a </w:t>
      </w:r>
      <w:r w:rsidR="00F93DAB">
        <w:rPr>
          <w:rFonts w:ascii="Calibri" w:eastAsia="Times New Roman" w:hAnsi="Calibri" w:cs="Calibri"/>
          <w:sz w:val="22"/>
          <w:szCs w:val="22"/>
          <w:lang w:eastAsia="en-AU"/>
        </w:rPr>
        <w:t>new</w:t>
      </w:r>
      <w:r w:rsidRPr="00AA4A97">
        <w:rPr>
          <w:rFonts w:ascii="Calibri" w:eastAsia="Times New Roman" w:hAnsi="Calibri" w:cs="Calibri"/>
          <w:sz w:val="22"/>
          <w:szCs w:val="22"/>
          <w:lang w:eastAsia="en-AU"/>
        </w:rPr>
        <w:t xml:space="preserve"> application to the Scheme, this Part of the Guidelines will cease to apply and Part </w:t>
      </w:r>
      <w:r>
        <w:rPr>
          <w:rFonts w:ascii="Calibri" w:eastAsia="Times New Roman" w:hAnsi="Calibri" w:cs="Calibri"/>
          <w:sz w:val="22"/>
          <w:szCs w:val="22"/>
          <w:lang w:eastAsia="en-AU"/>
        </w:rPr>
        <w:t>1</w:t>
      </w:r>
      <w:r w:rsidRPr="00AA4A97">
        <w:rPr>
          <w:rFonts w:ascii="Calibri" w:eastAsia="Times New Roman" w:hAnsi="Calibri" w:cs="Calibri"/>
          <w:sz w:val="22"/>
          <w:szCs w:val="22"/>
          <w:lang w:eastAsia="en-AU"/>
        </w:rPr>
        <w:t xml:space="preserve"> of the Guidelines will apply, with such amendments or abridgments of time as are required to give effect to this claus</w:t>
      </w:r>
      <w:r>
        <w:rPr>
          <w:rFonts w:ascii="Calibri" w:eastAsia="Times New Roman" w:hAnsi="Calibri" w:cs="Calibri"/>
          <w:sz w:val="22"/>
          <w:szCs w:val="22"/>
          <w:lang w:eastAsia="en-AU"/>
        </w:rPr>
        <w:t>e</w:t>
      </w:r>
      <w:r w:rsidRPr="00AA4A97">
        <w:rPr>
          <w:rFonts w:ascii="Calibri" w:eastAsia="Times New Roman" w:hAnsi="Calibri" w:cs="Calibri"/>
          <w:sz w:val="22"/>
          <w:szCs w:val="22"/>
          <w:lang w:eastAsia="en-AU"/>
        </w:rPr>
        <w:t>.</w:t>
      </w:r>
    </w:p>
    <w:bookmarkEnd w:id="19"/>
    <w:p w14:paraId="1C478BF1"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7FD0600F" w14:textId="77777777" w:rsidR="00BA3697" w:rsidRPr="0002753E" w:rsidRDefault="00AA4A97" w:rsidP="00BA3697">
      <w:pPr>
        <w:spacing w:line="360" w:lineRule="auto"/>
        <w:rPr>
          <w:rFonts w:ascii="Calibri" w:hAnsi="Calibri" w:cs="Calibri"/>
          <w:b/>
          <w:sz w:val="22"/>
          <w:szCs w:val="22"/>
        </w:rPr>
      </w:pPr>
      <w:r>
        <w:rPr>
          <w:rFonts w:ascii="Calibri" w:hAnsi="Calibri" w:cs="Calibri"/>
          <w:b/>
          <w:sz w:val="22"/>
          <w:szCs w:val="22"/>
        </w:rPr>
        <w:t>3</w:t>
      </w:r>
      <w:r w:rsidR="00BA3697" w:rsidRPr="0002753E">
        <w:rPr>
          <w:rFonts w:ascii="Calibri" w:hAnsi="Calibri" w:cs="Calibri"/>
          <w:b/>
          <w:sz w:val="22"/>
          <w:szCs w:val="22"/>
        </w:rPr>
        <w:tab/>
        <w:t>Dispute application</w:t>
      </w:r>
      <w:bookmarkEnd w:id="20"/>
      <w:r w:rsidR="00BA3697" w:rsidRPr="0002753E">
        <w:rPr>
          <w:rFonts w:ascii="Calibri" w:hAnsi="Calibri" w:cs="Calibri"/>
          <w:b/>
          <w:sz w:val="22"/>
          <w:szCs w:val="22"/>
        </w:rPr>
        <w:t xml:space="preserve">  </w:t>
      </w:r>
    </w:p>
    <w:p w14:paraId="78021289" w14:textId="77777777" w:rsidR="00BA3697" w:rsidRPr="0002753E" w:rsidRDefault="00AA4A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A dispute application </w:t>
      </w:r>
      <w:r>
        <w:rPr>
          <w:rFonts w:ascii="Calibri" w:eastAsia="Times New Roman" w:hAnsi="Calibri" w:cs="Calibri"/>
          <w:sz w:val="22"/>
          <w:szCs w:val="22"/>
          <w:lang w:eastAsia="en-AU"/>
        </w:rPr>
        <w:t>can be referred by</w:t>
      </w:r>
      <w:r w:rsidR="00BA3697" w:rsidRPr="0002753E">
        <w:rPr>
          <w:rFonts w:ascii="Calibri" w:eastAsia="Times New Roman" w:hAnsi="Calibri" w:cs="Calibri"/>
          <w:sz w:val="22"/>
          <w:szCs w:val="22"/>
          <w:lang w:eastAsia="en-AU"/>
        </w:rPr>
        <w:t xml:space="preserve"> Lifetime Care or by notice to Lifetime Care</w:t>
      </w:r>
      <w:r>
        <w:rPr>
          <w:rFonts w:ascii="Calibri" w:eastAsia="Times New Roman" w:hAnsi="Calibri" w:cs="Calibri"/>
          <w:sz w:val="22"/>
          <w:szCs w:val="22"/>
          <w:lang w:eastAsia="en-AU"/>
        </w:rPr>
        <w:t xml:space="preserve"> given by or on behalf of the injured person or by the insurer of the injured person’s claim</w:t>
      </w:r>
      <w:r w:rsidR="00BA3697" w:rsidRPr="0002753E">
        <w:rPr>
          <w:rFonts w:ascii="Calibri" w:eastAsia="Times New Roman" w:hAnsi="Calibri" w:cs="Calibri"/>
          <w:sz w:val="22"/>
          <w:szCs w:val="22"/>
          <w:lang w:eastAsia="en-AU"/>
        </w:rPr>
        <w:t xml:space="preserve">. A dispute application can be received in writing or verbally (in person or by telephone).  </w:t>
      </w:r>
    </w:p>
    <w:p w14:paraId="028E11FA" w14:textId="77777777" w:rsidR="00BA3697" w:rsidRPr="0002753E" w:rsidRDefault="00AA4A97" w:rsidP="00BA3697">
      <w:pPr>
        <w:widowControl w:val="0"/>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The dispute application must include:</w:t>
      </w:r>
    </w:p>
    <w:p w14:paraId="1F544F35" w14:textId="77777777" w:rsidR="00BA3697" w:rsidRDefault="00BA36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the injured person’s name, address and contact details;</w:t>
      </w:r>
    </w:p>
    <w:p w14:paraId="006F5E41" w14:textId="77777777" w:rsidR="00AA4A97" w:rsidRPr="0002753E" w:rsidRDefault="00AA4A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date of Lifetime Care’s determination about eligibility; </w:t>
      </w:r>
    </w:p>
    <w:p w14:paraId="4B7F9E5B" w14:textId="77777777" w:rsidR="00BA3697" w:rsidRPr="0002753E" w:rsidRDefault="00BA36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 statement that </w:t>
      </w:r>
      <w:r w:rsidR="00AA4A97">
        <w:rPr>
          <w:rFonts w:ascii="Calibri" w:eastAsia="Times New Roman" w:hAnsi="Calibri" w:cs="Calibri"/>
          <w:sz w:val="22"/>
          <w:szCs w:val="22"/>
          <w:lang w:eastAsia="en-AU"/>
        </w:rPr>
        <w:t>the applicant disputes the</w:t>
      </w:r>
      <w:r w:rsidRPr="0002753E">
        <w:rPr>
          <w:rFonts w:ascii="Calibri" w:eastAsia="Times New Roman" w:hAnsi="Calibri" w:cs="Calibri"/>
          <w:sz w:val="22"/>
          <w:szCs w:val="22"/>
          <w:lang w:eastAsia="en-AU"/>
        </w:rPr>
        <w:t xml:space="preserve"> determination</w:t>
      </w:r>
      <w:r w:rsidR="00AA4A97">
        <w:rPr>
          <w:rFonts w:ascii="Calibri" w:eastAsia="Times New Roman" w:hAnsi="Calibri" w:cs="Calibri"/>
          <w:sz w:val="22"/>
          <w:szCs w:val="22"/>
          <w:lang w:eastAsia="en-AU"/>
        </w:rPr>
        <w:t>;</w:t>
      </w:r>
    </w:p>
    <w:p w14:paraId="79EAF27B" w14:textId="77777777" w:rsidR="00BA3697" w:rsidRPr="0002753E" w:rsidRDefault="00AA4A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w:t>
      </w:r>
      <w:r w:rsidR="00BA3697" w:rsidRPr="0002753E">
        <w:rPr>
          <w:rFonts w:ascii="Calibri" w:eastAsia="Times New Roman" w:hAnsi="Calibri" w:cs="Calibri"/>
          <w:sz w:val="22"/>
          <w:szCs w:val="22"/>
          <w:lang w:eastAsia="en-AU"/>
        </w:rPr>
        <w:t xml:space="preserve">reasons why </w:t>
      </w:r>
      <w:r>
        <w:rPr>
          <w:rFonts w:ascii="Calibri" w:eastAsia="Times New Roman" w:hAnsi="Calibri" w:cs="Calibri"/>
          <w:sz w:val="22"/>
          <w:szCs w:val="22"/>
          <w:lang w:eastAsia="en-AU"/>
        </w:rPr>
        <w:t xml:space="preserve">the applicant disputes </w:t>
      </w:r>
      <w:r w:rsidR="00BA3697" w:rsidRPr="0002753E">
        <w:rPr>
          <w:rFonts w:ascii="Calibri" w:eastAsia="Times New Roman" w:hAnsi="Calibri" w:cs="Calibri"/>
          <w:sz w:val="22"/>
          <w:szCs w:val="22"/>
          <w:lang w:eastAsia="en-AU"/>
        </w:rPr>
        <w:t xml:space="preserve">Lifetime Care’s determination as to whether or not the injured person’s motor accident injury </w:t>
      </w:r>
      <w:r>
        <w:rPr>
          <w:rFonts w:ascii="Calibri" w:eastAsia="Times New Roman" w:hAnsi="Calibri" w:cs="Calibri"/>
          <w:sz w:val="22"/>
          <w:szCs w:val="22"/>
          <w:lang w:eastAsia="en-AU"/>
        </w:rPr>
        <w:t>does or does not satisfy the criteria for eligibility specified in Part 1 of the Guidelines;</w:t>
      </w:r>
    </w:p>
    <w:p w14:paraId="456553CA" w14:textId="77777777" w:rsidR="00BA3697" w:rsidRPr="0002753E" w:rsidRDefault="00BA36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reason</w:t>
      </w:r>
      <w:r w:rsidR="00707DD1">
        <w:rPr>
          <w:rFonts w:ascii="Calibri" w:eastAsia="Times New Roman" w:hAnsi="Calibri" w:cs="Calibri"/>
          <w:sz w:val="22"/>
          <w:szCs w:val="22"/>
          <w:lang w:eastAsia="en-AU"/>
        </w:rPr>
        <w:t xml:space="preserve">s, </w:t>
      </w:r>
      <w:r w:rsidRPr="0002753E">
        <w:rPr>
          <w:rFonts w:ascii="Calibri" w:eastAsia="Times New Roman" w:hAnsi="Calibri" w:cs="Calibri"/>
          <w:sz w:val="22"/>
          <w:szCs w:val="22"/>
          <w:lang w:eastAsia="en-AU"/>
        </w:rPr>
        <w:t>with reference to any relevant information</w:t>
      </w:r>
      <w:r w:rsidR="00707DD1">
        <w:rPr>
          <w:rFonts w:ascii="Calibri" w:eastAsia="Times New Roman" w:hAnsi="Calibri" w:cs="Calibri"/>
          <w:sz w:val="22"/>
          <w:szCs w:val="22"/>
          <w:lang w:eastAsia="en-AU"/>
        </w:rPr>
        <w:t>, including</w:t>
      </w:r>
      <w:r w:rsidRPr="0002753E">
        <w:rPr>
          <w:rFonts w:ascii="Calibri" w:eastAsia="Times New Roman" w:hAnsi="Calibri" w:cs="Calibri"/>
          <w:sz w:val="22"/>
          <w:szCs w:val="22"/>
          <w:lang w:eastAsia="en-AU"/>
        </w:rPr>
        <w:t xml:space="preserve"> medical reports</w:t>
      </w:r>
      <w:r w:rsidR="00707DD1">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 why the </w:t>
      </w:r>
      <w:r w:rsidR="00707DD1">
        <w:rPr>
          <w:rFonts w:ascii="Calibri" w:eastAsia="Times New Roman" w:hAnsi="Calibri" w:cs="Calibri"/>
          <w:sz w:val="22"/>
          <w:szCs w:val="22"/>
          <w:lang w:eastAsia="en-AU"/>
        </w:rPr>
        <w:t>applicant is of the view that the injured</w:t>
      </w:r>
      <w:r w:rsidRPr="0002753E">
        <w:rPr>
          <w:rFonts w:ascii="Calibri" w:eastAsia="Times New Roman" w:hAnsi="Calibri" w:cs="Calibri"/>
          <w:sz w:val="22"/>
          <w:szCs w:val="22"/>
          <w:lang w:eastAsia="en-AU"/>
        </w:rPr>
        <w:t xml:space="preserve"> person does or does not meet the criteria for eligibility in Part 1 of the Guidelines; and</w:t>
      </w:r>
    </w:p>
    <w:p w14:paraId="5B4C5701" w14:textId="77777777" w:rsidR="00BA3697" w:rsidRPr="0002753E" w:rsidRDefault="00BA3697" w:rsidP="00BA3697">
      <w:pPr>
        <w:widowControl w:val="0"/>
        <w:numPr>
          <w:ilvl w:val="0"/>
          <w:numId w:val="2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any information or reports relevant to the criteria for eligibility.  This may include information about co-existing conditions or conditions that existed prior to the motor accident.</w:t>
      </w:r>
    </w:p>
    <w:p w14:paraId="1AB2AD6A" w14:textId="77777777" w:rsidR="00BA3697" w:rsidRPr="0002753E" w:rsidRDefault="00AA4A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.3 </w:t>
      </w:r>
      <w:r w:rsidR="00BA3697" w:rsidRPr="0002753E">
        <w:rPr>
          <w:rFonts w:ascii="Calibri" w:eastAsia="Times New Roman" w:hAnsi="Calibri" w:cs="Calibri"/>
          <w:sz w:val="22"/>
          <w:szCs w:val="22"/>
          <w:lang w:eastAsia="en-AU"/>
        </w:rPr>
        <w:tab/>
        <w:t xml:space="preserve">If the applicant does not provide the above information, then Lifetime Care may request that the applicant provide the information to Lifetime Care before the application can proceed to be assessed. </w:t>
      </w:r>
    </w:p>
    <w:p w14:paraId="53B36C23" w14:textId="77777777" w:rsidR="00BA3697" w:rsidRPr="0002753E" w:rsidRDefault="00AA4A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.4 </w:t>
      </w:r>
      <w:r w:rsidR="00BA3697" w:rsidRPr="0002753E">
        <w:rPr>
          <w:rFonts w:ascii="Calibri" w:eastAsia="Times New Roman" w:hAnsi="Calibri" w:cs="Calibri"/>
          <w:sz w:val="22"/>
          <w:szCs w:val="22"/>
          <w:lang w:eastAsia="en-AU"/>
        </w:rPr>
        <w:tab/>
        <w:t xml:space="preserve">Lifetime Care will send a written acknowledgement of the dispute application to the </w:t>
      </w:r>
      <w:r w:rsidR="00707DD1">
        <w:rPr>
          <w:rFonts w:ascii="Calibri" w:eastAsia="Times New Roman" w:hAnsi="Calibri" w:cs="Calibri"/>
          <w:sz w:val="22"/>
          <w:szCs w:val="22"/>
          <w:lang w:eastAsia="en-AU"/>
        </w:rPr>
        <w:t>applicant</w:t>
      </w:r>
      <w:r w:rsidR="00BA3697" w:rsidRPr="0002753E">
        <w:rPr>
          <w:rFonts w:ascii="Calibri" w:eastAsia="Times New Roman" w:hAnsi="Calibri" w:cs="Calibri"/>
          <w:sz w:val="22"/>
          <w:szCs w:val="22"/>
          <w:lang w:eastAsia="en-AU"/>
        </w:rPr>
        <w:t xml:space="preserve"> within 5 working days of receipt.   </w:t>
      </w:r>
    </w:p>
    <w:p w14:paraId="25485023" w14:textId="77777777" w:rsidR="00BA3697" w:rsidRPr="0002753E" w:rsidRDefault="00AA4A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ab/>
        <w:t xml:space="preserve">If there is another party to the dispute, a copy of the application will be provided to any other party within 10 working days of receipt, after which time that party has 20 working days in which to make a submission in response to the application.  </w:t>
      </w:r>
    </w:p>
    <w:p w14:paraId="623704E3" w14:textId="77777777" w:rsidR="00BA3697" w:rsidRPr="0002753E" w:rsidRDefault="00AA4A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.6 </w:t>
      </w:r>
      <w:r w:rsidR="00BA3697" w:rsidRPr="0002753E">
        <w:rPr>
          <w:rFonts w:ascii="Calibri" w:eastAsia="Times New Roman" w:hAnsi="Calibri" w:cs="Calibri"/>
          <w:sz w:val="22"/>
          <w:szCs w:val="22"/>
          <w:lang w:eastAsia="en-AU"/>
        </w:rPr>
        <w:tab/>
        <w:t xml:space="preserve">The applicant should be aware that any information provided to Lifetime Care will be shared with any other party to the dispute, regardless of whether they are a party to the dispute at the time the information is provided. </w:t>
      </w:r>
    </w:p>
    <w:p w14:paraId="73C35ED0" w14:textId="77777777" w:rsidR="00BA3697" w:rsidRPr="0002753E" w:rsidRDefault="00AA4A97" w:rsidP="00BA3697">
      <w:pPr>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3</w:t>
      </w:r>
      <w:r w:rsidR="00BA3697" w:rsidRPr="0002753E">
        <w:rPr>
          <w:rFonts w:ascii="Calibri" w:eastAsia="Times New Roman" w:hAnsi="Calibri" w:cs="Calibri"/>
          <w:sz w:val="22"/>
          <w:szCs w:val="22"/>
          <w:lang w:eastAsia="en-AU"/>
        </w:rPr>
        <w:t xml:space="preserve">.7 </w:t>
      </w:r>
      <w:r w:rsidR="00BA3697" w:rsidRPr="0002753E">
        <w:rPr>
          <w:rFonts w:ascii="Calibri" w:eastAsia="Times New Roman" w:hAnsi="Calibri" w:cs="Calibri"/>
          <w:sz w:val="22"/>
          <w:szCs w:val="22"/>
          <w:lang w:eastAsia="en-AU"/>
        </w:rPr>
        <w:tab/>
        <w:t xml:space="preserve">All documents must be in English, unless accompanied by an English translation of the document. Any translated documents must be accompanied by a declaration that the translation is an accurate translation of the document and that the translator is accredited by the National Accreditation Authority for Translators and Interpreters Ltd (NAATI).  </w:t>
      </w:r>
    </w:p>
    <w:p w14:paraId="29195669" w14:textId="77777777" w:rsidR="00BA3697" w:rsidRPr="0002753E" w:rsidRDefault="00BA3697" w:rsidP="00BA3697">
      <w:pPr>
        <w:widowControl w:val="0"/>
        <w:autoSpaceDE w:val="0"/>
        <w:autoSpaceDN w:val="0"/>
        <w:snapToGrid/>
        <w:spacing w:line="360" w:lineRule="auto"/>
        <w:outlineLvl w:val="2"/>
        <w:rPr>
          <w:rFonts w:ascii="Calibri" w:eastAsia="Times New Roman" w:hAnsi="Calibri" w:cs="Calibri"/>
          <w:b/>
          <w:sz w:val="22"/>
          <w:szCs w:val="22"/>
          <w:lang w:eastAsia="en-AU"/>
        </w:rPr>
      </w:pPr>
      <w:bookmarkStart w:id="21" w:name="_Toc325044387"/>
    </w:p>
    <w:p w14:paraId="4C14D5EE" w14:textId="77777777" w:rsidR="00BA3697" w:rsidRPr="0002753E" w:rsidRDefault="00707DD1" w:rsidP="00BA3697">
      <w:pPr>
        <w:spacing w:line="360" w:lineRule="auto"/>
        <w:rPr>
          <w:rFonts w:ascii="Calibri" w:hAnsi="Calibri" w:cs="Calibri"/>
          <w:b/>
          <w:sz w:val="22"/>
          <w:szCs w:val="22"/>
        </w:rPr>
      </w:pPr>
      <w:r>
        <w:rPr>
          <w:rFonts w:ascii="Calibri" w:hAnsi="Calibri" w:cs="Calibri"/>
          <w:b/>
          <w:sz w:val="22"/>
          <w:szCs w:val="22"/>
        </w:rPr>
        <w:t>4</w:t>
      </w:r>
      <w:r w:rsidR="00BA3697" w:rsidRPr="0002753E">
        <w:rPr>
          <w:rFonts w:ascii="Calibri" w:hAnsi="Calibri" w:cs="Calibri"/>
          <w:b/>
          <w:sz w:val="22"/>
          <w:szCs w:val="22"/>
        </w:rPr>
        <w:tab/>
        <w:t>Further information or documentation required</w:t>
      </w:r>
      <w:bookmarkEnd w:id="21"/>
      <w:r w:rsidR="00BA3697" w:rsidRPr="0002753E">
        <w:rPr>
          <w:rFonts w:ascii="Calibri" w:hAnsi="Calibri" w:cs="Calibri"/>
          <w:b/>
          <w:sz w:val="22"/>
          <w:szCs w:val="22"/>
        </w:rPr>
        <w:t xml:space="preserve"> </w:t>
      </w:r>
    </w:p>
    <w:p w14:paraId="565FF8DB"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4</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If Lifetime Care is satisfied that further information or documentation is required in the application or is likely to assist in the resolution of the dispute, Lifetime Care may:</w:t>
      </w:r>
    </w:p>
    <w:p w14:paraId="3ADACAE4" w14:textId="77777777" w:rsidR="00BA3697" w:rsidRPr="0002753E" w:rsidRDefault="00BA3697" w:rsidP="00BA3697">
      <w:pPr>
        <w:widowControl w:val="0"/>
        <w:numPr>
          <w:ilvl w:val="0"/>
          <w:numId w:val="22"/>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request that the information be provided within a period of up to 20 working days</w:t>
      </w:r>
      <w:r w:rsidRPr="0002753E">
        <w:rPr>
          <w:rFonts w:ascii="Calibri" w:eastAsia="Times New Roman" w:hAnsi="Calibri" w:cs="Calibri"/>
          <w:b/>
          <w:bCs/>
          <w:i/>
          <w:iCs/>
          <w:sz w:val="22"/>
          <w:szCs w:val="22"/>
          <w:lang w:eastAsia="en-AU"/>
        </w:rPr>
        <w:t>;</w:t>
      </w:r>
      <w:r w:rsidRPr="0002753E">
        <w:rPr>
          <w:rFonts w:ascii="Calibri" w:eastAsia="Times New Roman" w:hAnsi="Calibri" w:cs="Calibri"/>
          <w:sz w:val="22"/>
          <w:szCs w:val="22"/>
          <w:lang w:eastAsia="en-AU"/>
        </w:rPr>
        <w:t xml:space="preserve"> and</w:t>
      </w:r>
    </w:p>
    <w:p w14:paraId="76A664CA" w14:textId="77777777" w:rsidR="00BA3697" w:rsidRPr="0002753E" w:rsidRDefault="00BA3697" w:rsidP="00BA3697">
      <w:pPr>
        <w:widowControl w:val="0"/>
        <w:numPr>
          <w:ilvl w:val="0"/>
          <w:numId w:val="22"/>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proceed with processing the application without the information, but only after the time has passed for the submission of the information. </w:t>
      </w:r>
    </w:p>
    <w:p w14:paraId="6875A306"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4</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 xml:space="preserve">Lifetime Care may contact any of the injured person’s treating health practitioners or service providers in order to clarify the issues in dispute or to assist with obtaining information relevant to the dispute.  </w:t>
      </w:r>
    </w:p>
    <w:p w14:paraId="03FC10F3"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lastRenderedPageBreak/>
        <w:t>4</w:t>
      </w:r>
      <w:r w:rsidR="00BA3697" w:rsidRPr="0002753E">
        <w:rPr>
          <w:rFonts w:ascii="Calibri" w:eastAsia="Times New Roman" w:hAnsi="Calibri" w:cs="Calibri"/>
          <w:sz w:val="22"/>
          <w:szCs w:val="22"/>
          <w:lang w:eastAsia="en-AU"/>
        </w:rPr>
        <w:t xml:space="preserve">.3 </w:t>
      </w:r>
      <w:r w:rsidR="00BA3697" w:rsidRPr="0002753E">
        <w:rPr>
          <w:rFonts w:ascii="Calibri" w:eastAsia="Times New Roman" w:hAnsi="Calibri" w:cs="Calibri"/>
          <w:sz w:val="22"/>
          <w:szCs w:val="22"/>
          <w:lang w:eastAsia="en-AU"/>
        </w:rPr>
        <w:tab/>
        <w:t xml:space="preserve">At any stage during the dispute, Lifetime Care may contact any of the injured person’s treating health practitioners about health or physical safety issues noted by an assessor as being urgent or serious. </w:t>
      </w:r>
    </w:p>
    <w:p w14:paraId="7822DFBD"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6CEE4EF7" w14:textId="77777777" w:rsidR="00BA3697" w:rsidRPr="0002753E" w:rsidRDefault="00707DD1" w:rsidP="00BA3697">
      <w:pPr>
        <w:spacing w:line="360" w:lineRule="auto"/>
        <w:rPr>
          <w:rFonts w:ascii="Calibri" w:hAnsi="Calibri" w:cs="Calibri"/>
          <w:b/>
          <w:sz w:val="22"/>
          <w:szCs w:val="22"/>
        </w:rPr>
      </w:pPr>
      <w:bookmarkStart w:id="22" w:name="_Toc325044388"/>
      <w:r>
        <w:rPr>
          <w:rFonts w:ascii="Calibri" w:hAnsi="Calibri" w:cs="Calibri"/>
          <w:b/>
          <w:sz w:val="22"/>
          <w:szCs w:val="22"/>
        </w:rPr>
        <w:t>5</w:t>
      </w:r>
      <w:r w:rsidR="00BA3697" w:rsidRPr="0002753E">
        <w:rPr>
          <w:rFonts w:ascii="Calibri" w:hAnsi="Calibri" w:cs="Calibri"/>
          <w:b/>
          <w:sz w:val="22"/>
          <w:szCs w:val="22"/>
        </w:rPr>
        <w:tab/>
        <w:t xml:space="preserve">Lifetime Care convenes </w:t>
      </w:r>
      <w:r w:rsidR="00F0103F">
        <w:rPr>
          <w:rFonts w:ascii="Calibri" w:hAnsi="Calibri" w:cs="Calibri"/>
          <w:b/>
          <w:sz w:val="22"/>
          <w:szCs w:val="22"/>
        </w:rPr>
        <w:t>A</w:t>
      </w:r>
      <w:r w:rsidR="00BA3697" w:rsidRPr="0002753E">
        <w:rPr>
          <w:rFonts w:ascii="Calibri" w:hAnsi="Calibri" w:cs="Calibri"/>
          <w:b/>
          <w:sz w:val="22"/>
          <w:szCs w:val="22"/>
        </w:rPr>
        <w:t xml:space="preserve">ssessment </w:t>
      </w:r>
      <w:r w:rsidR="00F0103F">
        <w:rPr>
          <w:rFonts w:ascii="Calibri" w:hAnsi="Calibri" w:cs="Calibri"/>
          <w:b/>
          <w:sz w:val="22"/>
          <w:szCs w:val="22"/>
        </w:rPr>
        <w:t>P</w:t>
      </w:r>
      <w:r w:rsidR="00BA3697" w:rsidRPr="0002753E">
        <w:rPr>
          <w:rFonts w:ascii="Calibri" w:hAnsi="Calibri" w:cs="Calibri"/>
          <w:b/>
          <w:sz w:val="22"/>
          <w:szCs w:val="22"/>
        </w:rPr>
        <w:t>anel</w:t>
      </w:r>
      <w:bookmarkEnd w:id="22"/>
      <w:r w:rsidR="00BA3697" w:rsidRPr="0002753E">
        <w:rPr>
          <w:rFonts w:ascii="Calibri" w:hAnsi="Calibri" w:cs="Calibri"/>
          <w:b/>
          <w:sz w:val="22"/>
          <w:szCs w:val="22"/>
        </w:rPr>
        <w:t xml:space="preserve">  </w:t>
      </w:r>
    </w:p>
    <w:p w14:paraId="0D585CEF"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Lifetime Care will convene an </w:t>
      </w:r>
      <w:r w:rsidR="00F0103F">
        <w:rPr>
          <w:rFonts w:ascii="Calibri" w:eastAsia="Times New Roman" w:hAnsi="Calibri" w:cs="Calibri"/>
          <w:sz w:val="22"/>
          <w:szCs w:val="22"/>
          <w:lang w:eastAsia="en-AU"/>
        </w:rPr>
        <w:t>A</w:t>
      </w:r>
      <w:r w:rsidR="00BA3697"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from Lifetime Care’s list of assessors as soon as possible, and within 20 working days of acknowledgement of the application or receipt of any submission from another party. When convening the </w:t>
      </w:r>
      <w:r w:rsidR="00F0103F">
        <w:rPr>
          <w:rFonts w:ascii="Calibri" w:eastAsia="Times New Roman" w:hAnsi="Calibri" w:cs="Calibri"/>
          <w:sz w:val="22"/>
          <w:szCs w:val="22"/>
          <w:lang w:eastAsia="en-AU"/>
        </w:rPr>
        <w:t>A</w:t>
      </w:r>
      <w:r w:rsidR="00BA3697"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Lifetime Care will consider:</w:t>
      </w:r>
    </w:p>
    <w:p w14:paraId="11F1F267"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needs of the injured person, </w:t>
      </w:r>
      <w:r w:rsidR="00707DD1">
        <w:rPr>
          <w:rFonts w:ascii="Calibri" w:eastAsia="Times New Roman" w:hAnsi="Calibri" w:cs="Calibri"/>
          <w:sz w:val="22"/>
          <w:szCs w:val="22"/>
          <w:lang w:eastAsia="en-AU"/>
        </w:rPr>
        <w:t>including</w:t>
      </w:r>
      <w:r w:rsidRPr="0002753E">
        <w:rPr>
          <w:rFonts w:ascii="Calibri" w:eastAsia="Times New Roman" w:hAnsi="Calibri" w:cs="Calibri"/>
          <w:sz w:val="22"/>
          <w:szCs w:val="22"/>
          <w:lang w:eastAsia="en-AU"/>
        </w:rPr>
        <w:t xml:space="preserve"> the nature of their injury;</w:t>
      </w:r>
    </w:p>
    <w:p w14:paraId="09ED0807"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which elements of the eligibility criteria </w:t>
      </w:r>
      <w:r w:rsidR="00707DD1">
        <w:rPr>
          <w:rFonts w:ascii="Calibri" w:eastAsia="Times New Roman" w:hAnsi="Calibri" w:cs="Calibri"/>
          <w:sz w:val="22"/>
          <w:szCs w:val="22"/>
          <w:lang w:eastAsia="en-AU"/>
        </w:rPr>
        <w:t xml:space="preserve">set out in Part 1 </w:t>
      </w:r>
      <w:r w:rsidRPr="0002753E">
        <w:rPr>
          <w:rFonts w:ascii="Calibri" w:eastAsia="Times New Roman" w:hAnsi="Calibri" w:cs="Calibri"/>
          <w:sz w:val="22"/>
          <w:szCs w:val="22"/>
          <w:lang w:eastAsia="en-AU"/>
        </w:rPr>
        <w:t>are in dispute;</w:t>
      </w:r>
    </w:p>
    <w:p w14:paraId="6559A744"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location of the injured person and the assessors;</w:t>
      </w:r>
    </w:p>
    <w:p w14:paraId="3B72DAC8"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specialty and expertise of the assessors;</w:t>
      </w:r>
    </w:p>
    <w:p w14:paraId="404006E5"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availability of the assessors; and</w:t>
      </w:r>
    </w:p>
    <w:p w14:paraId="735549AB" w14:textId="77777777" w:rsidR="00BA3697" w:rsidRPr="0002753E" w:rsidRDefault="00BA3697" w:rsidP="00BA3697">
      <w:pPr>
        <w:widowControl w:val="0"/>
        <w:numPr>
          <w:ilvl w:val="0"/>
          <w:numId w:val="23"/>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an interpreter is required. </w:t>
      </w:r>
    </w:p>
    <w:p w14:paraId="29F81417" w14:textId="77777777" w:rsidR="00BA3697" w:rsidRPr="0002753E" w:rsidRDefault="00707DD1" w:rsidP="00BA3697">
      <w:pPr>
        <w:widowControl w:val="0"/>
        <w:autoSpaceDE w:val="0"/>
        <w:autoSpaceDN w:val="0"/>
        <w:snapToGrid/>
        <w:spacing w:line="360" w:lineRule="auto"/>
        <w:ind w:left="720" w:hanging="690"/>
        <w:rPr>
          <w:rFonts w:ascii="Calibri" w:eastAsia="Times New Roman" w:hAnsi="Calibri" w:cs="Calibri"/>
          <w:sz w:val="22"/>
          <w:szCs w:val="22"/>
          <w:lang w:eastAsia="en-AU"/>
        </w:rPr>
      </w:pPr>
      <w:r>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 xml:space="preserve">Lifetime Care will advise the parties of the arrangements for the assessment, in writing, within 5 working days of the </w:t>
      </w:r>
      <w:r w:rsidR="00F0103F">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being convened. This will include the names and specialties of the assessors on the </w:t>
      </w:r>
      <w:r w:rsidR="00F0103F">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t>
      </w:r>
    </w:p>
    <w:p w14:paraId="2D2790A5"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 xml:space="preserve">.3 </w:t>
      </w:r>
      <w:r w:rsidR="00BA3697" w:rsidRPr="0002753E">
        <w:rPr>
          <w:rFonts w:ascii="Calibri" w:eastAsia="Times New Roman" w:hAnsi="Calibri" w:cs="Calibri"/>
          <w:sz w:val="22"/>
          <w:szCs w:val="22"/>
          <w:lang w:eastAsia="en-AU"/>
        </w:rPr>
        <w:tab/>
        <w:t xml:space="preserve">When the </w:t>
      </w:r>
      <w:r w:rsidR="00F0103F">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is convened, Lifetime Care will appoint a chairperson, and will send the </w:t>
      </w:r>
      <w:r w:rsidR="00F0103F">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copies of:</w:t>
      </w:r>
    </w:p>
    <w:p w14:paraId="61E4DF0F" w14:textId="77777777" w:rsidR="00BA3697" w:rsidRPr="0002753E" w:rsidRDefault="00BA3697" w:rsidP="00BA369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dispute application and all accompanying documents, including Lifetime Care's original determination of eligibility; and</w:t>
      </w:r>
    </w:p>
    <w:p w14:paraId="244E297A" w14:textId="77777777" w:rsidR="00BA3697" w:rsidRPr="0002753E" w:rsidRDefault="00BA3697" w:rsidP="00BA3697">
      <w:pPr>
        <w:widowControl w:val="0"/>
        <w:numPr>
          <w:ilvl w:val="0"/>
          <w:numId w:val="2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additional documentation or information received since the application was made. </w:t>
      </w:r>
    </w:p>
    <w:p w14:paraId="6599FDCB" w14:textId="77777777" w:rsidR="00BA3697" w:rsidRPr="0002753E" w:rsidRDefault="00707DD1" w:rsidP="00BA3697">
      <w:pPr>
        <w:widowControl w:val="0"/>
        <w:autoSpaceDE w:val="0"/>
        <w:autoSpaceDN w:val="0"/>
        <w:snapToGrid/>
        <w:spacing w:line="360" w:lineRule="auto"/>
        <w:ind w:left="720" w:hanging="690"/>
        <w:rPr>
          <w:rFonts w:ascii="Calibri" w:eastAsia="Times New Roman" w:hAnsi="Calibri" w:cs="Calibri"/>
          <w:sz w:val="22"/>
          <w:szCs w:val="22"/>
          <w:lang w:eastAsia="en-AU"/>
        </w:rPr>
      </w:pPr>
      <w:r>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 xml:space="preserve">.4 </w:t>
      </w:r>
      <w:r w:rsidR="00BA3697" w:rsidRPr="0002753E">
        <w:rPr>
          <w:rFonts w:ascii="Calibri" w:eastAsia="Times New Roman" w:hAnsi="Calibri" w:cs="Calibri"/>
          <w:sz w:val="22"/>
          <w:szCs w:val="22"/>
          <w:lang w:eastAsia="en-AU"/>
        </w:rPr>
        <w:tab/>
        <w:t xml:space="preserve">Lifetime Care may contact the injured person prior to any assessment by an </w:t>
      </w:r>
      <w:r w:rsidR="00F0103F">
        <w:rPr>
          <w:rFonts w:ascii="Calibri" w:eastAsia="Times New Roman" w:hAnsi="Calibri" w:cs="Calibri"/>
          <w:sz w:val="22"/>
          <w:szCs w:val="22"/>
          <w:lang w:eastAsia="en-AU"/>
        </w:rPr>
        <w:t>A</w:t>
      </w:r>
      <w:r w:rsidR="00BA3697"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This contact is in order to ensure that the injured person’s individual needs can be considered in any assessment or clinical examination if required.  </w:t>
      </w:r>
    </w:p>
    <w:p w14:paraId="5FAA31BB"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1F42BCBC" w14:textId="77777777" w:rsidR="00BA3697" w:rsidRPr="0002753E" w:rsidRDefault="00707DD1" w:rsidP="00BA3697">
      <w:pPr>
        <w:spacing w:line="360" w:lineRule="auto"/>
        <w:rPr>
          <w:rFonts w:ascii="Calibri" w:hAnsi="Calibri" w:cs="Calibri"/>
          <w:b/>
          <w:sz w:val="22"/>
          <w:szCs w:val="22"/>
        </w:rPr>
      </w:pPr>
      <w:bookmarkStart w:id="23" w:name="_Toc325044389"/>
      <w:r>
        <w:rPr>
          <w:rFonts w:ascii="Calibri" w:hAnsi="Calibri" w:cs="Calibri"/>
          <w:b/>
          <w:sz w:val="22"/>
          <w:szCs w:val="22"/>
        </w:rPr>
        <w:t>6</w:t>
      </w:r>
      <w:r w:rsidR="00BA3697" w:rsidRPr="0002753E">
        <w:rPr>
          <w:rFonts w:ascii="Calibri" w:hAnsi="Calibri" w:cs="Calibri"/>
          <w:b/>
          <w:sz w:val="22"/>
          <w:szCs w:val="22"/>
        </w:rPr>
        <w:tab/>
        <w:t xml:space="preserve">Grounds for objection to the </w:t>
      </w:r>
      <w:r w:rsidR="00F0103F">
        <w:rPr>
          <w:rFonts w:ascii="Calibri" w:hAnsi="Calibri" w:cs="Calibri"/>
          <w:b/>
          <w:sz w:val="22"/>
          <w:szCs w:val="22"/>
        </w:rPr>
        <w:t>A</w:t>
      </w:r>
      <w:r w:rsidR="00BA3697" w:rsidRPr="0002753E">
        <w:rPr>
          <w:rFonts w:ascii="Calibri" w:hAnsi="Calibri" w:cs="Calibri"/>
          <w:b/>
          <w:sz w:val="22"/>
          <w:szCs w:val="22"/>
        </w:rPr>
        <w:t xml:space="preserve">ssessment </w:t>
      </w:r>
      <w:r w:rsidR="00F0103F">
        <w:rPr>
          <w:rFonts w:ascii="Calibri" w:hAnsi="Calibri" w:cs="Calibri"/>
          <w:b/>
          <w:sz w:val="22"/>
          <w:szCs w:val="22"/>
        </w:rPr>
        <w:t>P</w:t>
      </w:r>
      <w:r w:rsidR="00BA3697" w:rsidRPr="0002753E">
        <w:rPr>
          <w:rFonts w:ascii="Calibri" w:hAnsi="Calibri" w:cs="Calibri"/>
          <w:b/>
          <w:sz w:val="22"/>
          <w:szCs w:val="22"/>
        </w:rPr>
        <w:t>anel</w:t>
      </w:r>
      <w:bookmarkEnd w:id="23"/>
      <w:r w:rsidR="00BA3697" w:rsidRPr="0002753E">
        <w:rPr>
          <w:rFonts w:ascii="Calibri" w:hAnsi="Calibri" w:cs="Calibri"/>
          <w:b/>
          <w:sz w:val="22"/>
          <w:szCs w:val="22"/>
        </w:rPr>
        <w:t xml:space="preserve">  </w:t>
      </w:r>
    </w:p>
    <w:p w14:paraId="5E4F3E0E"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6</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A party may request Lifetime Care reallocate the dispute to a different assessor </w:t>
      </w:r>
      <w:r>
        <w:rPr>
          <w:rFonts w:ascii="Calibri" w:eastAsia="Times New Roman" w:hAnsi="Calibri" w:cs="Calibri"/>
          <w:sz w:val="22"/>
          <w:szCs w:val="22"/>
          <w:lang w:eastAsia="en-AU"/>
        </w:rPr>
        <w:t xml:space="preserve">or assessors </w:t>
      </w:r>
      <w:r w:rsidR="00BA3697" w:rsidRPr="0002753E">
        <w:rPr>
          <w:rFonts w:ascii="Calibri" w:eastAsia="Times New Roman" w:hAnsi="Calibri" w:cs="Calibri"/>
          <w:sz w:val="22"/>
          <w:szCs w:val="22"/>
          <w:lang w:eastAsia="en-AU"/>
        </w:rPr>
        <w:t xml:space="preserve">on the basis that they consider the assessor is not appropriate. This request may apply to any or all of the assessors on the </w:t>
      </w:r>
      <w:r w:rsidR="00F0103F">
        <w:rPr>
          <w:rFonts w:ascii="Calibri" w:eastAsia="Times New Roman" w:hAnsi="Calibri" w:cs="Calibri"/>
          <w:sz w:val="22"/>
          <w:szCs w:val="22"/>
          <w:lang w:eastAsia="en-AU"/>
        </w:rPr>
        <w:t>Assessment P</w:t>
      </w:r>
      <w:r w:rsidR="00BA3697" w:rsidRPr="0002753E">
        <w:rPr>
          <w:rFonts w:ascii="Calibri" w:eastAsia="Times New Roman" w:hAnsi="Calibri" w:cs="Calibri"/>
          <w:sz w:val="22"/>
          <w:szCs w:val="22"/>
          <w:lang w:eastAsia="en-AU"/>
        </w:rPr>
        <w:t>anel.  To do this, the party must:</w:t>
      </w:r>
    </w:p>
    <w:p w14:paraId="210C7D0C" w14:textId="77777777" w:rsidR="00BA3697" w:rsidRPr="0002753E" w:rsidRDefault="00BA3697" w:rsidP="00BA3697">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apply within 10 working days of receiving the notification of the names of the assessors on the </w:t>
      </w:r>
      <w:r w:rsidR="00F0103F">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ssessment </w:t>
      </w:r>
      <w:r w:rsidR="00F0103F">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772606A7" w14:textId="77777777" w:rsidR="00BA3697" w:rsidRPr="0002753E" w:rsidRDefault="00BA3697" w:rsidP="00BA3697">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provide detailed </w:t>
      </w:r>
      <w:r w:rsidR="00585D83">
        <w:rPr>
          <w:rFonts w:ascii="Calibri" w:eastAsia="Times New Roman" w:hAnsi="Calibri" w:cs="Calibri"/>
          <w:sz w:val="22"/>
          <w:szCs w:val="22"/>
          <w:lang w:eastAsia="en-AU"/>
        </w:rPr>
        <w:t xml:space="preserve">submissions </w:t>
      </w:r>
      <w:r w:rsidR="00585D83" w:rsidRPr="0002753E">
        <w:rPr>
          <w:rFonts w:ascii="Calibri" w:eastAsia="Times New Roman" w:hAnsi="Calibri" w:cs="Calibri"/>
          <w:sz w:val="22"/>
          <w:szCs w:val="22"/>
          <w:lang w:eastAsia="en-AU"/>
        </w:rPr>
        <w:t>as</w:t>
      </w:r>
      <w:r w:rsidRPr="0002753E">
        <w:rPr>
          <w:rFonts w:ascii="Calibri" w:eastAsia="Times New Roman" w:hAnsi="Calibri" w:cs="Calibri"/>
          <w:sz w:val="22"/>
          <w:szCs w:val="22"/>
          <w:lang w:eastAsia="en-AU"/>
        </w:rPr>
        <w:t xml:space="preserve"> to why the assessor is not appropriate to assess the dispute; and</w:t>
      </w:r>
    </w:p>
    <w:p w14:paraId="08DA37F2" w14:textId="77777777" w:rsidR="00BA3697" w:rsidRPr="0002753E" w:rsidRDefault="00BA3697" w:rsidP="00BA3697">
      <w:pPr>
        <w:widowControl w:val="0"/>
        <w:numPr>
          <w:ilvl w:val="0"/>
          <w:numId w:val="25"/>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send a copy of their </w:t>
      </w:r>
      <w:r w:rsidR="00707DD1">
        <w:rPr>
          <w:rFonts w:ascii="Calibri" w:eastAsia="Times New Roman" w:hAnsi="Calibri" w:cs="Calibri"/>
          <w:sz w:val="22"/>
          <w:szCs w:val="22"/>
          <w:lang w:eastAsia="en-AU"/>
        </w:rPr>
        <w:t>submissions</w:t>
      </w:r>
      <w:r w:rsidRPr="0002753E">
        <w:rPr>
          <w:rFonts w:ascii="Calibri" w:eastAsia="Times New Roman" w:hAnsi="Calibri" w:cs="Calibri"/>
          <w:sz w:val="22"/>
          <w:szCs w:val="22"/>
          <w:lang w:eastAsia="en-AU"/>
        </w:rPr>
        <w:t xml:space="preserve"> to the other party to the dispute and Lifetime Care.   </w:t>
      </w:r>
    </w:p>
    <w:p w14:paraId="36A0FB62"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6</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r>
      <w:r w:rsidRPr="00707DD1">
        <w:rPr>
          <w:rFonts w:ascii="Calibri" w:eastAsia="Times New Roman" w:hAnsi="Calibri" w:cs="Calibri"/>
          <w:sz w:val="22"/>
          <w:szCs w:val="22"/>
          <w:lang w:eastAsia="en-AU"/>
        </w:rPr>
        <w:t xml:space="preserve">Lifetime Care will forward this request to any other party and invite submissions within 10 working </w:t>
      </w:r>
      <w:r w:rsidRPr="00707DD1">
        <w:rPr>
          <w:rFonts w:ascii="Calibri" w:eastAsia="Times New Roman" w:hAnsi="Calibri" w:cs="Calibri"/>
          <w:sz w:val="22"/>
          <w:szCs w:val="22"/>
          <w:lang w:eastAsia="en-AU"/>
        </w:rPr>
        <w:lastRenderedPageBreak/>
        <w:t>days of receipt. Lifetime Care will make a decision on the request for reallocation within 10 working days of receipt of the request, or within 10 working days of receipt of the submission from the other party. Lifetime Care will reconvene the Assessment Panel in whole or in part if satisfied that there are reasonable grounds for believing that any of the assessors originally appointed to form the Assessment Panel are not appropriate.</w:t>
      </w:r>
      <w:r w:rsidRPr="000A3B99">
        <w:rPr>
          <w:rFonts w:eastAsia="Times New Roman" w:cs="Calibri"/>
          <w:sz w:val="22"/>
          <w:szCs w:val="22"/>
          <w:lang w:eastAsia="en-AU"/>
        </w:rPr>
        <w:t xml:space="preserve">  </w:t>
      </w:r>
    </w:p>
    <w:p w14:paraId="58D8A87B" w14:textId="77777777" w:rsidR="00BA3697" w:rsidRPr="0002753E" w:rsidRDefault="00707DD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6</w:t>
      </w:r>
      <w:r w:rsidR="00BA3697" w:rsidRPr="0002753E">
        <w:rPr>
          <w:rFonts w:ascii="Calibri" w:eastAsia="Times New Roman" w:hAnsi="Calibri" w:cs="Calibri"/>
          <w:sz w:val="22"/>
          <w:szCs w:val="22"/>
          <w:lang w:eastAsia="en-AU"/>
        </w:rPr>
        <w:t xml:space="preserve">.3 </w:t>
      </w:r>
      <w:r w:rsidR="00BA3697" w:rsidRPr="00707DD1">
        <w:rPr>
          <w:rFonts w:ascii="Calibri" w:eastAsia="Times New Roman" w:hAnsi="Calibri" w:cs="Calibri"/>
          <w:sz w:val="22"/>
          <w:szCs w:val="22"/>
          <w:lang w:eastAsia="en-AU"/>
        </w:rPr>
        <w:tab/>
      </w:r>
      <w:r w:rsidRPr="00707DD1">
        <w:rPr>
          <w:rFonts w:ascii="Calibri" w:eastAsia="Times New Roman" w:hAnsi="Calibri" w:cs="Calibri"/>
          <w:sz w:val="22"/>
          <w:szCs w:val="22"/>
          <w:lang w:eastAsia="en-AU"/>
        </w:rPr>
        <w:t xml:space="preserve">Except where procedural fairness considerations mean it is not appropriate, an assessor who has previously formed part of an Assessment Panel and determined a dispute assessment for an injured person may be appointed as a member of an Assessment Panel to determine another unrelated dispute relating to that injured person. </w:t>
      </w:r>
      <w:r w:rsidRPr="00707DD1">
        <w:rPr>
          <w:rFonts w:ascii="Calibri" w:eastAsia="Times New Roman" w:hAnsi="Calibri" w:cs="Calibri"/>
          <w:i/>
          <w:sz w:val="22"/>
          <w:szCs w:val="22"/>
          <w:lang w:eastAsia="en-AU"/>
        </w:rPr>
        <w:t>For example, a dispute assessment for a different type of dispute under another part of these Guidelines.</w:t>
      </w:r>
    </w:p>
    <w:p w14:paraId="0AC45446" w14:textId="5C813241" w:rsidR="00BA3697" w:rsidRPr="0002753E" w:rsidRDefault="00707DD1" w:rsidP="00BA3697">
      <w:pPr>
        <w:widowControl w:val="0"/>
        <w:autoSpaceDE w:val="0"/>
        <w:autoSpaceDN w:val="0"/>
        <w:snapToGrid/>
        <w:spacing w:before="5"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6</w:t>
      </w:r>
      <w:r w:rsidR="00BA3697" w:rsidRPr="0002753E">
        <w:rPr>
          <w:rFonts w:ascii="Calibri" w:eastAsia="Times New Roman" w:hAnsi="Calibri" w:cs="Calibri"/>
          <w:sz w:val="22"/>
          <w:szCs w:val="22"/>
          <w:lang w:eastAsia="en-AU"/>
        </w:rPr>
        <w:t xml:space="preserve">.4 </w:t>
      </w:r>
      <w:r w:rsidR="00BA3697" w:rsidRPr="0002753E">
        <w:rPr>
          <w:rFonts w:ascii="Calibri" w:eastAsia="Times New Roman" w:hAnsi="Calibri" w:cs="Calibri"/>
          <w:sz w:val="22"/>
          <w:szCs w:val="22"/>
          <w:lang w:eastAsia="en-AU"/>
        </w:rPr>
        <w:tab/>
        <w:t xml:space="preserve">Lifetime Care will reallocate the dispute if satisfied that there are reasonable grounds for believing that the assessor or </w:t>
      </w:r>
      <w:r>
        <w:rPr>
          <w:rFonts w:ascii="Calibri" w:eastAsia="Times New Roman" w:hAnsi="Calibri" w:cs="Calibri"/>
          <w:sz w:val="22"/>
          <w:szCs w:val="22"/>
          <w:lang w:eastAsia="en-AU"/>
        </w:rPr>
        <w:t xml:space="preserve">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t>
      </w:r>
      <w:r>
        <w:rPr>
          <w:rFonts w:ascii="Calibri" w:eastAsia="Times New Roman" w:hAnsi="Calibri" w:cs="Calibri"/>
          <w:sz w:val="22"/>
          <w:szCs w:val="22"/>
          <w:lang w:eastAsia="en-AU"/>
        </w:rPr>
        <w:t xml:space="preserve">as a whole </w:t>
      </w:r>
      <w:r w:rsidR="000A6392">
        <w:rPr>
          <w:rFonts w:ascii="Calibri" w:eastAsia="Times New Roman" w:hAnsi="Calibri" w:cs="Calibri"/>
          <w:sz w:val="22"/>
          <w:szCs w:val="22"/>
          <w:lang w:eastAsia="en-AU"/>
        </w:rPr>
        <w:t xml:space="preserve">might </w:t>
      </w:r>
      <w:r w:rsidR="00BA3697" w:rsidRPr="0002753E">
        <w:rPr>
          <w:rFonts w:ascii="Calibri" w:eastAsia="Times New Roman" w:hAnsi="Calibri" w:cs="Calibri"/>
          <w:sz w:val="22"/>
          <w:szCs w:val="22"/>
          <w:lang w:eastAsia="en-AU"/>
        </w:rPr>
        <w:t xml:space="preserve">no longer be appropriate to assess the dispute. </w:t>
      </w:r>
    </w:p>
    <w:p w14:paraId="28E1AFE3" w14:textId="77777777" w:rsidR="00BA3697" w:rsidRPr="0002753E" w:rsidRDefault="00707DD1" w:rsidP="00BA3697">
      <w:pPr>
        <w:widowControl w:val="0"/>
        <w:autoSpaceDE w:val="0"/>
        <w:autoSpaceDN w:val="0"/>
        <w:snapToGrid/>
        <w:spacing w:before="5"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6</w:t>
      </w:r>
      <w:r w:rsidR="00BA3697" w:rsidRPr="0002753E">
        <w:rPr>
          <w:rFonts w:ascii="Calibri" w:eastAsia="Times New Roman" w:hAnsi="Calibri" w:cs="Calibri"/>
          <w:sz w:val="22"/>
          <w:szCs w:val="22"/>
          <w:lang w:eastAsia="en-AU"/>
        </w:rPr>
        <w:t>.5</w:t>
      </w:r>
      <w:r w:rsidR="00BA3697" w:rsidRPr="0002753E">
        <w:rPr>
          <w:rFonts w:ascii="Calibri" w:eastAsia="Times New Roman" w:hAnsi="Calibri" w:cs="Calibri"/>
          <w:sz w:val="22"/>
          <w:szCs w:val="22"/>
          <w:lang w:eastAsia="en-AU"/>
        </w:rPr>
        <w:tab/>
        <w:t>Lifetime Care may</w:t>
      </w:r>
      <w:r w:rsidR="00BA3697" w:rsidRPr="0002753E">
        <w:rPr>
          <w:rFonts w:ascii="Calibri" w:eastAsia="Times New Roman" w:hAnsi="Calibri" w:cs="Calibri"/>
          <w:sz w:val="22"/>
          <w:szCs w:val="22"/>
          <w:lang w:val="en" w:eastAsia="en-AU"/>
        </w:rPr>
        <w:t xml:space="preserve"> reallocate a dispute to a different assessor or </w:t>
      </w:r>
      <w:r w:rsidR="00587366">
        <w:rPr>
          <w:rFonts w:ascii="Calibri" w:eastAsia="Times New Roman" w:hAnsi="Calibri" w:cs="Calibri"/>
          <w:sz w:val="22"/>
          <w:szCs w:val="22"/>
          <w:lang w:val="en" w:eastAsia="en-AU"/>
        </w:rPr>
        <w:t>A</w:t>
      </w:r>
      <w:r>
        <w:rPr>
          <w:rFonts w:ascii="Calibri" w:eastAsia="Times New Roman" w:hAnsi="Calibri" w:cs="Calibri"/>
          <w:sz w:val="22"/>
          <w:szCs w:val="22"/>
          <w:lang w:val="en" w:eastAsia="en-AU"/>
        </w:rPr>
        <w:t xml:space="preserve">ssessment </w:t>
      </w:r>
      <w:r w:rsidR="00587366">
        <w:rPr>
          <w:rFonts w:ascii="Calibri" w:eastAsia="Times New Roman" w:hAnsi="Calibri" w:cs="Calibri"/>
          <w:sz w:val="22"/>
          <w:szCs w:val="22"/>
          <w:lang w:val="en" w:eastAsia="en-AU"/>
        </w:rPr>
        <w:t>P</w:t>
      </w:r>
      <w:r w:rsidR="00BA3697" w:rsidRPr="0002753E">
        <w:rPr>
          <w:rFonts w:ascii="Calibri" w:eastAsia="Times New Roman" w:hAnsi="Calibri" w:cs="Calibri"/>
          <w:sz w:val="22"/>
          <w:szCs w:val="22"/>
          <w:lang w:val="en" w:eastAsia="en-AU"/>
        </w:rPr>
        <w:t xml:space="preserve">anel </w:t>
      </w:r>
      <w:r>
        <w:rPr>
          <w:rFonts w:ascii="Calibri" w:eastAsia="Times New Roman" w:hAnsi="Calibri" w:cs="Calibri"/>
          <w:sz w:val="22"/>
          <w:szCs w:val="22"/>
          <w:lang w:val="en" w:eastAsia="en-AU"/>
        </w:rPr>
        <w:t xml:space="preserve">as a whole </w:t>
      </w:r>
      <w:r w:rsidR="00BA3697" w:rsidRPr="0002753E">
        <w:rPr>
          <w:rFonts w:ascii="Calibri" w:eastAsia="Times New Roman" w:hAnsi="Calibri" w:cs="Calibri"/>
          <w:sz w:val="22"/>
          <w:szCs w:val="22"/>
          <w:lang w:val="en" w:eastAsia="en-AU"/>
        </w:rPr>
        <w:t xml:space="preserve">following allocation if required. This could be in the event of illness, or if the assessor or </w:t>
      </w:r>
      <w:r>
        <w:rPr>
          <w:rFonts w:ascii="Calibri" w:eastAsia="Times New Roman" w:hAnsi="Calibri" w:cs="Calibri"/>
          <w:sz w:val="22"/>
          <w:szCs w:val="22"/>
          <w:lang w:val="en" w:eastAsia="en-AU"/>
        </w:rPr>
        <w:t xml:space="preserve">the </w:t>
      </w:r>
      <w:r w:rsidR="00587366">
        <w:rPr>
          <w:rFonts w:ascii="Calibri" w:eastAsia="Times New Roman" w:hAnsi="Calibri" w:cs="Calibri"/>
          <w:sz w:val="22"/>
          <w:szCs w:val="22"/>
          <w:lang w:val="en" w:eastAsia="en-AU"/>
        </w:rPr>
        <w:t>A</w:t>
      </w:r>
      <w:r>
        <w:rPr>
          <w:rFonts w:ascii="Calibri" w:eastAsia="Times New Roman" w:hAnsi="Calibri" w:cs="Calibri"/>
          <w:sz w:val="22"/>
          <w:szCs w:val="22"/>
          <w:lang w:val="en" w:eastAsia="en-AU"/>
        </w:rPr>
        <w:t xml:space="preserve">ssessment </w:t>
      </w:r>
      <w:r w:rsidR="00587366">
        <w:rPr>
          <w:rFonts w:ascii="Calibri" w:eastAsia="Times New Roman" w:hAnsi="Calibri" w:cs="Calibri"/>
          <w:sz w:val="22"/>
          <w:szCs w:val="22"/>
          <w:lang w:val="en" w:eastAsia="en-AU"/>
        </w:rPr>
        <w:t>P</w:t>
      </w:r>
      <w:r w:rsidR="00BA3697" w:rsidRPr="0002753E">
        <w:rPr>
          <w:rFonts w:ascii="Calibri" w:eastAsia="Times New Roman" w:hAnsi="Calibri" w:cs="Calibri"/>
          <w:sz w:val="22"/>
          <w:szCs w:val="22"/>
          <w:lang w:val="en" w:eastAsia="en-AU"/>
        </w:rPr>
        <w:t xml:space="preserve">anel </w:t>
      </w:r>
      <w:r w:rsidR="003842AE">
        <w:rPr>
          <w:rFonts w:ascii="Calibri" w:eastAsia="Times New Roman" w:hAnsi="Calibri" w:cs="Calibri"/>
          <w:sz w:val="22"/>
          <w:szCs w:val="22"/>
          <w:lang w:val="en" w:eastAsia="en-AU"/>
        </w:rPr>
        <w:t xml:space="preserve">as a whole </w:t>
      </w:r>
      <w:r w:rsidR="00BA3697" w:rsidRPr="0002753E">
        <w:rPr>
          <w:rFonts w:ascii="Calibri" w:eastAsia="Times New Roman" w:hAnsi="Calibri" w:cs="Calibri"/>
          <w:sz w:val="22"/>
          <w:szCs w:val="22"/>
          <w:lang w:val="en" w:eastAsia="en-AU"/>
        </w:rPr>
        <w:t>is otherwise unable to assess the dispute in a reasonable timeframe.</w:t>
      </w:r>
    </w:p>
    <w:p w14:paraId="7525629D"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3645285B" w14:textId="77777777" w:rsidR="00BA3697" w:rsidRPr="0002753E" w:rsidRDefault="003842AE" w:rsidP="00BA3697">
      <w:pPr>
        <w:spacing w:line="360" w:lineRule="auto"/>
        <w:rPr>
          <w:rFonts w:ascii="Calibri" w:hAnsi="Calibri" w:cs="Calibri"/>
          <w:b/>
          <w:sz w:val="22"/>
          <w:szCs w:val="22"/>
        </w:rPr>
      </w:pPr>
      <w:bookmarkStart w:id="24" w:name="_Toc325044390"/>
      <w:r>
        <w:rPr>
          <w:rFonts w:ascii="Calibri" w:hAnsi="Calibri" w:cs="Calibri"/>
          <w:b/>
          <w:sz w:val="22"/>
          <w:szCs w:val="22"/>
        </w:rPr>
        <w:t>7</w:t>
      </w:r>
      <w:r w:rsidR="00BA3697" w:rsidRPr="0002753E">
        <w:rPr>
          <w:rFonts w:ascii="Calibri" w:hAnsi="Calibri" w:cs="Calibri"/>
          <w:b/>
          <w:sz w:val="22"/>
          <w:szCs w:val="22"/>
        </w:rPr>
        <w:tab/>
        <w:t xml:space="preserve">Assessment </w:t>
      </w:r>
      <w:r w:rsidR="00587366">
        <w:rPr>
          <w:rFonts w:ascii="Calibri" w:hAnsi="Calibri" w:cs="Calibri"/>
          <w:b/>
          <w:sz w:val="22"/>
          <w:szCs w:val="22"/>
        </w:rPr>
        <w:t>P</w:t>
      </w:r>
      <w:r w:rsidR="00BA3697" w:rsidRPr="0002753E">
        <w:rPr>
          <w:rFonts w:ascii="Calibri" w:hAnsi="Calibri" w:cs="Calibri"/>
          <w:b/>
          <w:sz w:val="22"/>
          <w:szCs w:val="22"/>
        </w:rPr>
        <w:t>anel hold initial meeting</w:t>
      </w:r>
      <w:bookmarkEnd w:id="24"/>
      <w:r w:rsidR="00BA3697" w:rsidRPr="0002753E">
        <w:rPr>
          <w:rFonts w:ascii="Calibri" w:hAnsi="Calibri" w:cs="Calibri"/>
          <w:b/>
          <w:sz w:val="22"/>
          <w:szCs w:val="22"/>
        </w:rPr>
        <w:t xml:space="preserve">  </w:t>
      </w:r>
    </w:p>
    <w:p w14:paraId="162A06B3" w14:textId="77777777" w:rsidR="00BA3697" w:rsidRPr="0002753E" w:rsidRDefault="003842AE"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7</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will hold an initial meeting or teleconference within 20 working days of the date 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was convened, where 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will decide:</w:t>
      </w:r>
    </w:p>
    <w:p w14:paraId="654FBA1F" w14:textId="77777777" w:rsidR="00BA3697" w:rsidRPr="0002753E" w:rsidRDefault="00BA3697" w:rsidP="00BA369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clinical examination of the injured person is required or if the assessment can be completed on the information provided; </w:t>
      </w:r>
    </w:p>
    <w:p w14:paraId="3EA420D6" w14:textId="77777777" w:rsidR="00BA3697" w:rsidRPr="0002753E" w:rsidRDefault="00BA3697" w:rsidP="00BA369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additional information is required for the </w:t>
      </w:r>
      <w:r w:rsidR="00587366">
        <w:rPr>
          <w:rFonts w:ascii="Calibri" w:eastAsia="Times New Roman" w:hAnsi="Calibri" w:cs="Calibri"/>
          <w:sz w:val="22"/>
          <w:szCs w:val="22"/>
          <w:lang w:eastAsia="en-AU"/>
        </w:rPr>
        <w:t>A</w:t>
      </w:r>
      <w:r w:rsidR="003842A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to make a decision;</w:t>
      </w:r>
    </w:p>
    <w:p w14:paraId="398C88F6" w14:textId="77777777" w:rsidR="00BA3697" w:rsidRPr="0002753E" w:rsidRDefault="00BA3697" w:rsidP="00BA369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which member of the </w:t>
      </w:r>
      <w:r w:rsidR="00587366">
        <w:rPr>
          <w:rFonts w:ascii="Calibri" w:eastAsia="Times New Roman" w:hAnsi="Calibri" w:cs="Calibri"/>
          <w:sz w:val="22"/>
          <w:szCs w:val="22"/>
          <w:lang w:eastAsia="en-AU"/>
        </w:rPr>
        <w:t>A</w:t>
      </w:r>
      <w:r w:rsidR="003842A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will sign the certificate on behalf of the </w:t>
      </w:r>
      <w:r w:rsidR="00587366">
        <w:rPr>
          <w:rFonts w:ascii="Calibri" w:eastAsia="Times New Roman" w:hAnsi="Calibri" w:cs="Calibri"/>
          <w:sz w:val="22"/>
          <w:szCs w:val="22"/>
          <w:lang w:eastAsia="en-AU"/>
        </w:rPr>
        <w:t>A</w:t>
      </w:r>
      <w:r w:rsidR="003842A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and</w:t>
      </w:r>
    </w:p>
    <w:p w14:paraId="5F6F0953" w14:textId="77777777" w:rsidR="00BA3697" w:rsidRDefault="00BA3697" w:rsidP="00BA3697">
      <w:pPr>
        <w:widowControl w:val="0"/>
        <w:numPr>
          <w:ilvl w:val="0"/>
          <w:numId w:val="2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a further meeting of the </w:t>
      </w:r>
      <w:r w:rsidR="00587366">
        <w:rPr>
          <w:rFonts w:ascii="Calibri" w:eastAsia="Times New Roman" w:hAnsi="Calibri" w:cs="Calibri"/>
          <w:sz w:val="22"/>
          <w:szCs w:val="22"/>
          <w:lang w:eastAsia="en-AU"/>
        </w:rPr>
        <w:t>A</w:t>
      </w:r>
      <w:r w:rsidR="003842A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is required.  </w:t>
      </w:r>
    </w:p>
    <w:p w14:paraId="41C5ABB0" w14:textId="77777777" w:rsidR="003842AE" w:rsidRPr="0002753E" w:rsidRDefault="003842AE" w:rsidP="003842AE">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7.2</w:t>
      </w:r>
      <w:r>
        <w:rPr>
          <w:rFonts w:ascii="Calibri" w:eastAsia="Times New Roman" w:hAnsi="Calibri" w:cs="Calibri"/>
          <w:sz w:val="22"/>
          <w:szCs w:val="22"/>
          <w:lang w:eastAsia="en-AU"/>
        </w:rPr>
        <w:tab/>
        <w:t xml:space="preserve">For the avoidance of doubt, 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anel’s initial meeting or teleconference is to occur in the absence of the parties. </w:t>
      </w:r>
    </w:p>
    <w:p w14:paraId="5758666A"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55DC46D" w14:textId="77777777" w:rsidR="00BA3697" w:rsidRPr="0002753E" w:rsidRDefault="004C0B9B" w:rsidP="00BA3697">
      <w:pPr>
        <w:spacing w:line="360" w:lineRule="auto"/>
        <w:rPr>
          <w:rFonts w:ascii="Calibri" w:hAnsi="Calibri" w:cs="Calibri"/>
          <w:b/>
          <w:sz w:val="22"/>
          <w:szCs w:val="22"/>
        </w:rPr>
      </w:pPr>
      <w:bookmarkStart w:id="25" w:name="_Toc325044391"/>
      <w:r>
        <w:rPr>
          <w:rFonts w:ascii="Calibri" w:hAnsi="Calibri" w:cs="Calibri"/>
          <w:b/>
          <w:sz w:val="22"/>
          <w:szCs w:val="22"/>
        </w:rPr>
        <w:t>8</w:t>
      </w:r>
      <w:r w:rsidR="00BA3697" w:rsidRPr="0002753E">
        <w:rPr>
          <w:rFonts w:ascii="Calibri" w:hAnsi="Calibri" w:cs="Calibri"/>
          <w:b/>
          <w:sz w:val="22"/>
          <w:szCs w:val="22"/>
        </w:rPr>
        <w:tab/>
        <w:t xml:space="preserve">Procedures for the </w:t>
      </w:r>
      <w:r w:rsidR="00587366">
        <w:rPr>
          <w:rFonts w:ascii="Calibri" w:hAnsi="Calibri" w:cs="Calibri"/>
          <w:b/>
          <w:sz w:val="22"/>
          <w:szCs w:val="22"/>
        </w:rPr>
        <w:t>A</w:t>
      </w:r>
      <w:r w:rsidR="005F53A1">
        <w:rPr>
          <w:rFonts w:ascii="Calibri" w:hAnsi="Calibri" w:cs="Calibri"/>
          <w:b/>
          <w:sz w:val="22"/>
          <w:szCs w:val="22"/>
        </w:rPr>
        <w:t xml:space="preserve">ssessment </w:t>
      </w:r>
      <w:r w:rsidR="00587366">
        <w:rPr>
          <w:rFonts w:ascii="Calibri" w:hAnsi="Calibri" w:cs="Calibri"/>
          <w:b/>
          <w:sz w:val="22"/>
          <w:szCs w:val="22"/>
        </w:rPr>
        <w:t>P</w:t>
      </w:r>
      <w:r w:rsidR="00BA3697" w:rsidRPr="0002753E">
        <w:rPr>
          <w:rFonts w:ascii="Calibri" w:hAnsi="Calibri" w:cs="Calibri"/>
          <w:b/>
          <w:sz w:val="22"/>
          <w:szCs w:val="22"/>
        </w:rPr>
        <w:t>anel’s assessment</w:t>
      </w:r>
      <w:bookmarkEnd w:id="25"/>
      <w:r w:rsidR="00BA3697" w:rsidRPr="0002753E">
        <w:rPr>
          <w:rFonts w:ascii="Calibri" w:hAnsi="Calibri" w:cs="Calibri"/>
          <w:b/>
          <w:sz w:val="22"/>
          <w:szCs w:val="22"/>
        </w:rPr>
        <w:t xml:space="preserve"> </w:t>
      </w:r>
    </w:p>
    <w:p w14:paraId="29457439" w14:textId="77777777" w:rsidR="00BA3697" w:rsidRPr="0002753E" w:rsidRDefault="004C0B9B"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8</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is not bound by the rules of evidence in conducting an assessment.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may determine its own procedure and may inquire into any such issue as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sees fit.  </w:t>
      </w:r>
    </w:p>
    <w:p w14:paraId="68887477" w14:textId="77777777" w:rsidR="00BA3697" w:rsidRPr="0002753E" w:rsidRDefault="004C0B9B"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8</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must follow these guidelines at the time of their assessment and must also follow any practice notes that are in force at the time of their assessment. </w:t>
      </w:r>
      <w:r w:rsidR="005F53A1">
        <w:rPr>
          <w:rFonts w:ascii="Calibri" w:eastAsia="Times New Roman" w:hAnsi="Calibri" w:cs="Calibri"/>
          <w:sz w:val="22"/>
          <w:szCs w:val="22"/>
          <w:lang w:eastAsia="en-AU"/>
        </w:rPr>
        <w:t>Without limitation, t</w:t>
      </w:r>
      <w:r w:rsidR="00BA3697" w:rsidRPr="0002753E">
        <w:rPr>
          <w:rFonts w:ascii="Calibri" w:eastAsia="Times New Roman" w:hAnsi="Calibri" w:cs="Calibri"/>
          <w:sz w:val="22"/>
          <w:szCs w:val="22"/>
          <w:lang w:eastAsia="en-AU"/>
        </w:rPr>
        <w:t xml:space="preserve">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may do any or all of the following in their assessment of the dispute: </w:t>
      </w:r>
    </w:p>
    <w:p w14:paraId="55E8D731" w14:textId="77777777" w:rsidR="00BA3697" w:rsidRPr="0002753E" w:rsidRDefault="00BA3697" w:rsidP="00BA3697">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contact each other by teleconference, email or by meeting;</w:t>
      </w:r>
    </w:p>
    <w:p w14:paraId="60944419" w14:textId="77777777" w:rsidR="00BA3697" w:rsidRPr="0002753E" w:rsidRDefault="00BA3697" w:rsidP="00BA3697">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contact any of the injured person’s past or present treating medical or health professionals;</w:t>
      </w:r>
    </w:p>
    <w:p w14:paraId="33054FFF" w14:textId="77777777" w:rsidR="00BA3697" w:rsidRPr="0002753E" w:rsidRDefault="00BA3697" w:rsidP="00BA3697">
      <w:pPr>
        <w:widowControl w:val="0"/>
        <w:numPr>
          <w:ilvl w:val="0"/>
          <w:numId w:val="2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request medical records or other documentation that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consider relevant to the dispute;</w:t>
      </w:r>
    </w:p>
    <w:p w14:paraId="6DDAA61A" w14:textId="77777777" w:rsidR="00BA3697" w:rsidRPr="0002753E" w:rsidRDefault="00BA3697" w:rsidP="00BA3697">
      <w:pPr>
        <w:widowControl w:val="0"/>
        <w:numPr>
          <w:ilvl w:val="0"/>
          <w:numId w:val="27"/>
        </w:numPr>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 xml:space="preserve">request the injured person attend a clinical examination with any or all members of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w:t>
      </w:r>
      <w:r w:rsidR="005F53A1">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 and/or</w:t>
      </w:r>
    </w:p>
    <w:p w14:paraId="782323AF" w14:textId="77777777" w:rsidR="00BA3697" w:rsidRPr="0002753E" w:rsidRDefault="00BA3697" w:rsidP="00BA3697">
      <w:pPr>
        <w:widowControl w:val="0"/>
        <w:numPr>
          <w:ilvl w:val="0"/>
          <w:numId w:val="27"/>
        </w:numPr>
        <w:autoSpaceDE w:val="0"/>
        <w:autoSpaceDN w:val="0"/>
        <w:snapToGrid/>
        <w:spacing w:line="360" w:lineRule="auto"/>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 xml:space="preserve">request the injured person attend a clinical examination with another health professional who is not a member of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If this occurs, the health professional will provide a report to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and parties to the dispute. </w:t>
      </w:r>
    </w:p>
    <w:p w14:paraId="771CF4AB" w14:textId="68FF2BB2" w:rsidR="00BA3697" w:rsidRPr="0002753E" w:rsidRDefault="004C0B9B" w:rsidP="00BA3697">
      <w:pPr>
        <w:widowControl w:val="0"/>
        <w:autoSpaceDE w:val="0"/>
        <w:autoSpaceDN w:val="0"/>
        <w:snapToGrid/>
        <w:spacing w:line="360" w:lineRule="auto"/>
        <w:ind w:left="720" w:hanging="720"/>
        <w:rPr>
          <w:rFonts w:ascii="Calibri" w:eastAsia="Times New Roman" w:hAnsi="Calibri" w:cs="Calibri"/>
          <w:b/>
          <w:i/>
          <w:sz w:val="22"/>
          <w:szCs w:val="22"/>
          <w:lang w:eastAsia="en-AU"/>
        </w:rPr>
      </w:pPr>
      <w:r>
        <w:rPr>
          <w:rFonts w:ascii="Calibri" w:eastAsia="Times New Roman" w:hAnsi="Calibri" w:cs="Calibri"/>
          <w:sz w:val="22"/>
          <w:szCs w:val="22"/>
          <w:lang w:eastAsia="en-AU"/>
        </w:rPr>
        <w:t>8</w:t>
      </w:r>
      <w:r w:rsidR="00BA3697" w:rsidRPr="0002753E">
        <w:rPr>
          <w:rFonts w:ascii="Calibri" w:eastAsia="Times New Roman" w:hAnsi="Calibri" w:cs="Calibri"/>
          <w:sz w:val="22"/>
          <w:szCs w:val="22"/>
          <w:lang w:eastAsia="en-AU"/>
        </w:rPr>
        <w:t>.3</w:t>
      </w:r>
      <w:r w:rsidR="00BA3697" w:rsidRPr="0002753E">
        <w:rPr>
          <w:rFonts w:ascii="Calibri" w:eastAsia="Times New Roman" w:hAnsi="Calibri" w:cs="Calibri"/>
          <w:b/>
          <w:sz w:val="22"/>
          <w:szCs w:val="22"/>
          <w:lang w:eastAsia="en-AU"/>
        </w:rPr>
        <w:t xml:space="preserve"> </w:t>
      </w:r>
      <w:r w:rsidR="00BA3697" w:rsidRPr="0002753E">
        <w:rPr>
          <w:rFonts w:ascii="Calibri" w:eastAsia="Times New Roman" w:hAnsi="Calibri" w:cs="Calibri"/>
          <w:b/>
          <w:sz w:val="22"/>
          <w:szCs w:val="22"/>
          <w:lang w:eastAsia="en-AU"/>
        </w:rPr>
        <w:tab/>
      </w:r>
      <w:r w:rsidR="00BA3697" w:rsidRPr="0002753E">
        <w:rPr>
          <w:rFonts w:ascii="Calibri" w:eastAsia="Times New Roman" w:hAnsi="Calibri" w:cs="Calibri"/>
          <w:sz w:val="22"/>
          <w:szCs w:val="22"/>
          <w:lang w:eastAsia="en-AU"/>
        </w:rPr>
        <w:t xml:space="preserve">If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requests the injured person attend a neuropsychological assessment, this assessment will occur in accordance with the State Insurance Regulatory Authority</w:t>
      </w:r>
      <w:r w:rsidR="00B27A32">
        <w:rPr>
          <w:rFonts w:ascii="Calibri" w:eastAsia="Times New Roman" w:hAnsi="Calibri" w:cs="Calibri"/>
          <w:sz w:val="22"/>
          <w:szCs w:val="22"/>
          <w:lang w:eastAsia="en-AU"/>
        </w:rPr>
        <w:t>’s</w:t>
      </w:r>
      <w:r w:rsidR="00BA3697" w:rsidRPr="0002753E">
        <w:rPr>
          <w:rFonts w:ascii="Calibri" w:eastAsia="Times New Roman" w:hAnsi="Calibri" w:cs="Calibri"/>
          <w:sz w:val="22"/>
          <w:szCs w:val="22"/>
          <w:lang w:eastAsia="en-AU"/>
        </w:rPr>
        <w:t xml:space="preserve"> publication </w:t>
      </w:r>
      <w:r w:rsidR="00BA3697" w:rsidRPr="0002753E">
        <w:rPr>
          <w:rFonts w:ascii="Calibri" w:eastAsia="Times New Roman" w:hAnsi="Calibri" w:cs="Calibri"/>
          <w:i/>
          <w:sz w:val="22"/>
          <w:szCs w:val="22"/>
          <w:lang w:eastAsia="en-AU"/>
        </w:rPr>
        <w:t xml:space="preserve">Neuropsychological Assessment of Children and Adults with Traumatic Brain Injury: Guidelines for the NSW Compulsory Third Party Scheme and the Lifetime Care and Support Scheme. </w:t>
      </w:r>
    </w:p>
    <w:p w14:paraId="2CE34D51" w14:textId="540E3B6A" w:rsidR="00BA3697" w:rsidRDefault="004C0B9B"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8</w:t>
      </w:r>
      <w:r w:rsidR="00BA3697" w:rsidRPr="0002753E">
        <w:rPr>
          <w:rFonts w:ascii="Calibri" w:eastAsia="Times New Roman" w:hAnsi="Calibri" w:cs="Calibri"/>
          <w:sz w:val="22"/>
          <w:szCs w:val="22"/>
          <w:lang w:eastAsia="en-AU"/>
        </w:rPr>
        <w:t xml:space="preserve">.4 </w:t>
      </w:r>
      <w:r w:rsidR="00BA3697" w:rsidRPr="0002753E">
        <w:rPr>
          <w:rFonts w:ascii="Calibri" w:eastAsia="Times New Roman" w:hAnsi="Calibri" w:cs="Calibri"/>
          <w:sz w:val="22"/>
          <w:szCs w:val="22"/>
          <w:lang w:eastAsia="en-AU"/>
        </w:rPr>
        <w:tab/>
        <w:t xml:space="preserve">Administrative support will be provided to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during the assessment process where required</w:t>
      </w:r>
      <w:r w:rsidR="000A6392">
        <w:rPr>
          <w:rFonts w:ascii="Calibri" w:eastAsia="Times New Roman" w:hAnsi="Calibri" w:cs="Calibri"/>
          <w:sz w:val="22"/>
          <w:szCs w:val="22"/>
          <w:lang w:eastAsia="en-AU"/>
        </w:rPr>
        <w:t xml:space="preserve"> by a person or team that has not been involved in the decision that is the subject of the dispute</w:t>
      </w:r>
      <w:r w:rsidR="00BA3697" w:rsidRPr="0002753E">
        <w:rPr>
          <w:rFonts w:ascii="Calibri" w:eastAsia="Times New Roman" w:hAnsi="Calibri" w:cs="Calibri"/>
          <w:sz w:val="22"/>
          <w:szCs w:val="22"/>
          <w:lang w:eastAsia="en-AU"/>
        </w:rPr>
        <w:t xml:space="preserve">.  </w:t>
      </w:r>
    </w:p>
    <w:p w14:paraId="2719E662" w14:textId="77777777" w:rsidR="005F53A1" w:rsidRPr="0002753E" w:rsidRDefault="005F53A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8.5</w:t>
      </w:r>
      <w:r>
        <w:rPr>
          <w:rFonts w:ascii="Calibri" w:eastAsia="Times New Roman" w:hAnsi="Calibri" w:cs="Calibri"/>
          <w:sz w:val="22"/>
          <w:szCs w:val="22"/>
          <w:lang w:eastAsia="en-AU"/>
        </w:rPr>
        <w:tab/>
        <w:t xml:space="preserve">For the avoidance of doubt, 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need not conduct a hearing or any other meeting or conference with all or any of the parties. </w:t>
      </w:r>
    </w:p>
    <w:p w14:paraId="27A7FBCB" w14:textId="77777777" w:rsidR="005F53A1" w:rsidRDefault="005F53A1" w:rsidP="00BA3697">
      <w:pPr>
        <w:spacing w:line="360" w:lineRule="auto"/>
        <w:rPr>
          <w:rFonts w:ascii="Calibri" w:hAnsi="Calibri" w:cs="Calibri"/>
          <w:b/>
          <w:sz w:val="22"/>
          <w:szCs w:val="22"/>
        </w:rPr>
      </w:pPr>
    </w:p>
    <w:p w14:paraId="72736B71"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Clinical examination</w:t>
      </w:r>
    </w:p>
    <w:p w14:paraId="50EDBFF1"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 xml:space="preserve">Relevant section of the legislation:  </w:t>
      </w:r>
    </w:p>
    <w:p w14:paraId="4BE95DFC"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Section </w:t>
      </w:r>
      <w:r>
        <w:rPr>
          <w:rFonts w:ascii="Calibri" w:eastAsia="Times New Roman" w:hAnsi="Calibri" w:cs="Calibri"/>
          <w:sz w:val="22"/>
          <w:szCs w:val="22"/>
          <w:lang w:eastAsia="en-AU"/>
        </w:rPr>
        <w:t>17</w:t>
      </w:r>
      <w:r w:rsidRPr="0002753E">
        <w:rPr>
          <w:rFonts w:ascii="Calibri" w:eastAsia="Times New Roman" w:hAnsi="Calibri" w:cs="Calibri"/>
          <w:sz w:val="22"/>
          <w:szCs w:val="22"/>
          <w:lang w:eastAsia="en-AU"/>
        </w:rPr>
        <w:t xml:space="preserve"> of the </w:t>
      </w: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52C779CB" w14:textId="77777777" w:rsidR="00BA3697" w:rsidRPr="0002753E" w:rsidRDefault="00BA3697" w:rsidP="00BA369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b/>
          <w:sz w:val="22"/>
          <w:szCs w:val="22"/>
          <w:lang w:val="en" w:eastAsia="en-AU"/>
        </w:rPr>
      </w:pPr>
      <w:r w:rsidRPr="0002753E">
        <w:rPr>
          <w:rFonts w:ascii="Calibri" w:eastAsia="Times New Roman" w:hAnsi="Calibri" w:cs="Calibri"/>
          <w:b/>
          <w:sz w:val="22"/>
          <w:szCs w:val="22"/>
          <w:lang w:val="en" w:eastAsia="en-AU"/>
        </w:rPr>
        <w:t>17   Costs of assessment</w:t>
      </w:r>
    </w:p>
    <w:p w14:paraId="49983424" w14:textId="77777777" w:rsidR="00BA3697" w:rsidRPr="0002753E" w:rsidRDefault="00BA3697" w:rsidP="00BA369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(1)  The costs of determinations and reviews of determinations under this Division are payable by the Authority.</w:t>
      </w:r>
    </w:p>
    <w:p w14:paraId="6F152949" w14:textId="77777777" w:rsidR="00BA3697" w:rsidRPr="0002753E" w:rsidRDefault="00BA3697" w:rsidP="00BA3697">
      <w:pPr>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val="en" w:eastAsia="en-AU"/>
        </w:rPr>
      </w:pPr>
      <w:r w:rsidRPr="0002753E">
        <w:rPr>
          <w:rFonts w:ascii="Calibri" w:eastAsia="Times New Roman" w:hAnsi="Calibri" w:cs="Calibri"/>
          <w:sz w:val="22"/>
          <w:szCs w:val="22"/>
          <w:lang w:val="en" w:eastAsia="en-AU"/>
        </w:rPr>
        <w:t>(2)  The costs of determinations and reviews under this Division include the necessary costs and expenses of travel and accommodation incurred by the injured person, and by a parent or other carer of the injured person in order to accompany the injured person, in attending a panel for the purposes of the determination or review.</w:t>
      </w:r>
    </w:p>
    <w:p w14:paraId="19DDB80E"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69EA9F2A" w14:textId="77777777" w:rsidR="00BA3697" w:rsidRPr="0002753E" w:rsidRDefault="004C0B9B" w:rsidP="00BA3697">
      <w:pPr>
        <w:spacing w:line="360" w:lineRule="auto"/>
        <w:rPr>
          <w:rFonts w:ascii="Calibri" w:hAnsi="Calibri" w:cs="Calibri"/>
          <w:b/>
          <w:sz w:val="22"/>
          <w:szCs w:val="22"/>
        </w:rPr>
      </w:pPr>
      <w:bookmarkStart w:id="26" w:name="_Toc325044392"/>
      <w:r>
        <w:rPr>
          <w:rFonts w:ascii="Calibri" w:hAnsi="Calibri" w:cs="Calibri"/>
          <w:b/>
          <w:sz w:val="22"/>
          <w:szCs w:val="22"/>
        </w:rPr>
        <w:t>9</w:t>
      </w:r>
      <w:r w:rsidR="00BA3697" w:rsidRPr="0002753E">
        <w:rPr>
          <w:rFonts w:ascii="Calibri" w:hAnsi="Calibri" w:cs="Calibri"/>
          <w:b/>
          <w:sz w:val="22"/>
          <w:szCs w:val="22"/>
        </w:rPr>
        <w:tab/>
        <w:t>Clinical examination arranged if required</w:t>
      </w:r>
      <w:bookmarkEnd w:id="26"/>
      <w:r w:rsidR="00BA3697" w:rsidRPr="0002753E">
        <w:rPr>
          <w:rFonts w:ascii="Calibri" w:hAnsi="Calibri" w:cs="Calibri"/>
          <w:b/>
          <w:sz w:val="22"/>
          <w:szCs w:val="22"/>
        </w:rPr>
        <w:t xml:space="preserve"> </w:t>
      </w:r>
    </w:p>
    <w:p w14:paraId="68E9034B" w14:textId="77777777" w:rsidR="00BA3697" w:rsidRPr="0002753E" w:rsidRDefault="004C0B9B"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9</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At the request of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Lifetime Care will arrange a clinical examination with a member or members of 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t>
      </w:r>
      <w:bookmarkStart w:id="27" w:name="_Hlk517868566"/>
      <w:r w:rsidR="005F53A1">
        <w:rPr>
          <w:rFonts w:ascii="Calibri" w:eastAsia="Times New Roman" w:hAnsi="Calibri" w:cs="Calibri"/>
          <w:sz w:val="22"/>
          <w:szCs w:val="22"/>
          <w:lang w:eastAsia="en-AU"/>
        </w:rPr>
        <w:t xml:space="preserve">This may be organised </w:t>
      </w:r>
      <w:r w:rsidR="009D66F8">
        <w:rPr>
          <w:rFonts w:ascii="Calibri" w:eastAsia="Times New Roman" w:hAnsi="Calibri" w:cs="Calibri"/>
          <w:sz w:val="22"/>
          <w:szCs w:val="22"/>
          <w:lang w:eastAsia="en-AU"/>
        </w:rPr>
        <w:t>through</w:t>
      </w:r>
      <w:r w:rsidR="005F53A1">
        <w:rPr>
          <w:rFonts w:ascii="Calibri" w:eastAsia="Times New Roman" w:hAnsi="Calibri" w:cs="Calibri"/>
          <w:sz w:val="22"/>
          <w:szCs w:val="22"/>
          <w:lang w:eastAsia="en-AU"/>
        </w:rPr>
        <w:t xml:space="preserve"> administrative support. </w:t>
      </w:r>
      <w:bookmarkEnd w:id="27"/>
      <w:r w:rsidR="00BA3697" w:rsidRPr="0002753E">
        <w:rPr>
          <w:rFonts w:ascii="Calibri" w:eastAsia="Times New Roman" w:hAnsi="Calibri" w:cs="Calibri"/>
          <w:sz w:val="22"/>
          <w:szCs w:val="22"/>
          <w:lang w:eastAsia="en-AU"/>
        </w:rPr>
        <w:t xml:space="preserve">The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will decide if any or all </w:t>
      </w:r>
      <w:r w:rsidR="00587366">
        <w:rPr>
          <w:rFonts w:ascii="Calibri" w:eastAsia="Times New Roman" w:hAnsi="Calibri" w:cs="Calibri"/>
          <w:sz w:val="22"/>
          <w:szCs w:val="22"/>
          <w:lang w:eastAsia="en-AU"/>
        </w:rPr>
        <w:t>A</w:t>
      </w:r>
      <w:r w:rsidR="005F53A1">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members are required to examine the injured person. </w:t>
      </w:r>
    </w:p>
    <w:p w14:paraId="4E3049CF" w14:textId="77777777" w:rsidR="00BA3697" w:rsidRPr="0002753E" w:rsidRDefault="004C0B9B"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9</w:t>
      </w:r>
      <w:r w:rsidR="00BA3697" w:rsidRPr="0002753E">
        <w:rPr>
          <w:rFonts w:ascii="Calibri" w:eastAsia="Times New Roman" w:hAnsi="Calibri" w:cs="Calibri"/>
          <w:sz w:val="22"/>
          <w:szCs w:val="22"/>
          <w:lang w:eastAsia="en-AU"/>
        </w:rPr>
        <w:t>.2</w:t>
      </w:r>
      <w:r w:rsidR="00BA3697" w:rsidRPr="0002753E">
        <w:rPr>
          <w:rFonts w:ascii="Calibri" w:eastAsia="Times New Roman" w:hAnsi="Calibri" w:cs="Calibri"/>
          <w:sz w:val="22"/>
          <w:szCs w:val="22"/>
          <w:lang w:eastAsia="en-AU"/>
        </w:rPr>
        <w:tab/>
        <w:t xml:space="preserve">If an examination is to occur, the parties will be notified in writing of: </w:t>
      </w:r>
    </w:p>
    <w:p w14:paraId="2D8C63D1" w14:textId="77777777" w:rsidR="00BA3697" w:rsidRPr="0002753E" w:rsidRDefault="00BA3697" w:rsidP="00BA3697">
      <w:pPr>
        <w:widowControl w:val="0"/>
        <w:numPr>
          <w:ilvl w:val="0"/>
          <w:numId w:val="2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the time, date and location of the clinical examination; and</w:t>
      </w:r>
    </w:p>
    <w:p w14:paraId="7DDE05B0" w14:textId="77777777" w:rsidR="00BA3697" w:rsidRPr="0002753E" w:rsidRDefault="00BA3697" w:rsidP="00BA3697">
      <w:pPr>
        <w:widowControl w:val="0"/>
        <w:numPr>
          <w:ilvl w:val="0"/>
          <w:numId w:val="28"/>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name and specialty of the assessor or assessors or other persons conducting the clinical examination.  </w:t>
      </w:r>
    </w:p>
    <w:p w14:paraId="498D3D0E" w14:textId="4E5A2994"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r w:rsidR="005F53A1">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w:t>
      </w:r>
      <w:r w:rsidR="005F53A1">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Before the examination</w:t>
      </w:r>
      <w:r w:rsidR="00E3382D">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 Lifetime Care will notify the injured person: </w:t>
      </w:r>
    </w:p>
    <w:p w14:paraId="4A6C0F56" w14:textId="77777777" w:rsidR="00BA3697" w:rsidRPr="0002753E" w:rsidRDefault="00BA3697" w:rsidP="00BA3697">
      <w:pPr>
        <w:keepNext/>
        <w:keepLines/>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how to prepare for the examination (e.g. what to wear and bring) and what to expect; and</w:t>
      </w:r>
    </w:p>
    <w:p w14:paraId="2E953A7F" w14:textId="77777777" w:rsidR="00BA3697" w:rsidRPr="0002753E" w:rsidRDefault="00BA3697" w:rsidP="00BA3697">
      <w:pPr>
        <w:keepNext/>
        <w:keepLines/>
        <w:widowControl w:val="0"/>
        <w:numPr>
          <w:ilvl w:val="0"/>
          <w:numId w:val="29"/>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what may occur at the examination, for example the kind of questions that may be asked of the injured person and support person. </w:t>
      </w:r>
    </w:p>
    <w:p w14:paraId="2DF1F553" w14:textId="77777777" w:rsidR="00BA3697" w:rsidRPr="0002753E" w:rsidRDefault="005F53A1" w:rsidP="00BA3697">
      <w:pPr>
        <w:spacing w:line="360" w:lineRule="auto"/>
        <w:ind w:left="720" w:hanging="720"/>
        <w:rPr>
          <w:rFonts w:ascii="Calibri" w:hAnsi="Calibri" w:cs="Calibri"/>
          <w:sz w:val="22"/>
          <w:szCs w:val="22"/>
        </w:rPr>
      </w:pPr>
      <w:bookmarkStart w:id="28" w:name="_Toc325044393"/>
      <w:r>
        <w:rPr>
          <w:rFonts w:ascii="Calibri" w:hAnsi="Calibri" w:cs="Calibri"/>
          <w:sz w:val="22"/>
          <w:szCs w:val="22"/>
        </w:rPr>
        <w:t>9</w:t>
      </w:r>
      <w:r w:rsidR="00BA3697" w:rsidRPr="0002753E">
        <w:rPr>
          <w:rFonts w:ascii="Calibri" w:hAnsi="Calibri" w:cs="Calibri"/>
          <w:sz w:val="22"/>
          <w:szCs w:val="22"/>
        </w:rPr>
        <w:t>.</w:t>
      </w:r>
      <w:r>
        <w:rPr>
          <w:rFonts w:ascii="Calibri" w:hAnsi="Calibri" w:cs="Calibri"/>
          <w:sz w:val="22"/>
          <w:szCs w:val="22"/>
        </w:rPr>
        <w:t>4</w:t>
      </w:r>
      <w:r w:rsidR="00BA3697" w:rsidRPr="0002753E">
        <w:rPr>
          <w:rFonts w:ascii="Calibri" w:hAnsi="Calibri" w:cs="Calibri"/>
          <w:sz w:val="22"/>
          <w:szCs w:val="22"/>
        </w:rPr>
        <w:tab/>
        <w:t>Lifetime Care will arrange any clinical examination and pay the necessary costs and expenses of travel and accommodation associated with attendance of the injured person, and if required, the reasonable expenses of one accompanying person such as a parent, carer or legal guardian or other support person to attend in accordance with section 17(2)</w:t>
      </w:r>
      <w:r w:rsidR="00BA3697">
        <w:rPr>
          <w:rFonts w:ascii="Calibri" w:hAnsi="Calibri" w:cs="Calibri"/>
          <w:sz w:val="22"/>
          <w:szCs w:val="22"/>
        </w:rPr>
        <w:t xml:space="preserve"> of the Act</w:t>
      </w:r>
      <w:r w:rsidR="00BA3697" w:rsidRPr="0002753E">
        <w:rPr>
          <w:rFonts w:ascii="Calibri" w:hAnsi="Calibri" w:cs="Calibri"/>
          <w:sz w:val="22"/>
          <w:szCs w:val="22"/>
        </w:rPr>
        <w:t xml:space="preserve">.    </w:t>
      </w:r>
    </w:p>
    <w:p w14:paraId="365D4D2A"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4"/>
          <w:szCs w:val="24"/>
          <w:lang w:eastAsia="en-AU"/>
        </w:rPr>
      </w:pPr>
    </w:p>
    <w:p w14:paraId="34662032" w14:textId="77777777" w:rsidR="00BA3697" w:rsidRPr="0002753E" w:rsidRDefault="005F53A1" w:rsidP="00BA3697">
      <w:pPr>
        <w:spacing w:line="360" w:lineRule="auto"/>
        <w:rPr>
          <w:rFonts w:ascii="Calibri" w:hAnsi="Calibri" w:cs="Calibri"/>
          <w:b/>
          <w:sz w:val="22"/>
          <w:szCs w:val="22"/>
        </w:rPr>
      </w:pPr>
      <w:r>
        <w:rPr>
          <w:rFonts w:ascii="Calibri" w:hAnsi="Calibri" w:cs="Calibri"/>
          <w:b/>
          <w:sz w:val="22"/>
          <w:szCs w:val="22"/>
        </w:rPr>
        <w:t>10</w:t>
      </w:r>
      <w:r w:rsidR="00BA3697" w:rsidRPr="0002753E">
        <w:rPr>
          <w:rFonts w:ascii="Calibri" w:hAnsi="Calibri" w:cs="Calibri"/>
          <w:b/>
          <w:sz w:val="22"/>
          <w:szCs w:val="22"/>
        </w:rPr>
        <w:tab/>
        <w:t>Clinical examination procedures</w:t>
      </w:r>
      <w:bookmarkEnd w:id="28"/>
      <w:r w:rsidR="00BA3697" w:rsidRPr="0002753E">
        <w:rPr>
          <w:rFonts w:ascii="Calibri" w:hAnsi="Calibri" w:cs="Calibri"/>
          <w:b/>
          <w:sz w:val="22"/>
          <w:szCs w:val="22"/>
        </w:rPr>
        <w:t xml:space="preserve"> </w:t>
      </w:r>
    </w:p>
    <w:p w14:paraId="4CEDF322" w14:textId="77777777" w:rsidR="00BA3697" w:rsidRPr="0002753E" w:rsidRDefault="005F53A1" w:rsidP="00BA3697">
      <w:pPr>
        <w:keepLines/>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10</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will determine who may be present at a clinical examination and how the examination proceeds. A parent, legal guardian, carer or other support person may be present during an examination involving the injured person in order to assist in any way required. Legal or medical representatives of the injured person or any party cannot be present during a clinical examination unless Lifetime Care gives prior approval and is satisfied that the circumstances warrant it. </w:t>
      </w:r>
    </w:p>
    <w:p w14:paraId="5F953871" w14:textId="77777777" w:rsidR="00BA3697" w:rsidRPr="0002753E" w:rsidRDefault="005F53A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10</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 xml:space="preserve">A legal guardian, carer or other support person may provide information to the assessor/s during a clinical examination, but only when asked by the assessor. At their discretion, the assessor/s may ask any legal guardian, carer or support person to leave the clinical examination. </w:t>
      </w:r>
    </w:p>
    <w:p w14:paraId="7AA31FC3" w14:textId="77777777" w:rsidR="00BA3697" w:rsidRPr="0002753E" w:rsidRDefault="005F53A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10</w:t>
      </w:r>
      <w:r w:rsidR="00BA3697" w:rsidRPr="0002753E">
        <w:rPr>
          <w:rFonts w:ascii="Calibri" w:eastAsia="Times New Roman" w:hAnsi="Calibri" w:cs="Calibri"/>
          <w:sz w:val="22"/>
          <w:szCs w:val="22"/>
          <w:lang w:eastAsia="en-AU"/>
        </w:rPr>
        <w:t xml:space="preserve">.3 </w:t>
      </w:r>
      <w:r w:rsidR="00BA3697" w:rsidRPr="0002753E">
        <w:rPr>
          <w:rFonts w:ascii="Calibri" w:eastAsia="Times New Roman" w:hAnsi="Calibri" w:cs="Calibri"/>
          <w:sz w:val="22"/>
          <w:szCs w:val="22"/>
          <w:lang w:eastAsia="en-AU"/>
        </w:rPr>
        <w:tab/>
        <w:t xml:space="preserve">When the clinical examination occurs, the assessor/s will take such measures as are reasonably practicable to ensure that the injured person and anyone accompanying them: </w:t>
      </w:r>
    </w:p>
    <w:p w14:paraId="5F067E70" w14:textId="77777777" w:rsidR="00BA3697" w:rsidRPr="0002753E" w:rsidRDefault="00BA3697" w:rsidP="00BA369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understands the reason for the examination and the issues 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will consider in assessing the dispute;</w:t>
      </w:r>
    </w:p>
    <w:p w14:paraId="172D7F9B" w14:textId="77777777" w:rsidR="00BA3697" w:rsidRPr="0002753E" w:rsidRDefault="00BA3697" w:rsidP="00BA369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is aware of what the examination will involve; and</w:t>
      </w:r>
    </w:p>
    <w:p w14:paraId="47852CE2" w14:textId="77777777" w:rsidR="00BA3697" w:rsidRPr="0002753E" w:rsidRDefault="00BA3697" w:rsidP="00BA3697">
      <w:pPr>
        <w:widowControl w:val="0"/>
        <w:numPr>
          <w:ilvl w:val="0"/>
          <w:numId w:val="30"/>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is aware of the role of 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00232C1C">
        <w:rPr>
          <w:rFonts w:ascii="Calibri" w:eastAsia="Times New Roman" w:hAnsi="Calibri" w:cs="Calibri"/>
          <w:sz w:val="22"/>
          <w:szCs w:val="22"/>
          <w:lang w:eastAsia="en-AU"/>
        </w:rPr>
        <w:t>anel</w:t>
      </w:r>
      <w:r w:rsidRPr="0002753E">
        <w:rPr>
          <w:rFonts w:ascii="Calibri" w:eastAsia="Times New Roman" w:hAnsi="Calibri" w:cs="Calibri"/>
          <w:sz w:val="22"/>
          <w:szCs w:val="22"/>
          <w:lang w:eastAsia="en-AU"/>
        </w:rPr>
        <w:t xml:space="preserve"> as </w:t>
      </w:r>
      <w:r w:rsidR="00232C1C">
        <w:rPr>
          <w:rFonts w:ascii="Calibri" w:eastAsia="Times New Roman" w:hAnsi="Calibri" w:cs="Calibri"/>
          <w:sz w:val="22"/>
          <w:szCs w:val="22"/>
          <w:lang w:eastAsia="en-AU"/>
        </w:rPr>
        <w:t xml:space="preserve">an </w:t>
      </w:r>
      <w:r w:rsidRPr="0002753E">
        <w:rPr>
          <w:rFonts w:ascii="Calibri" w:eastAsia="Times New Roman" w:hAnsi="Calibri" w:cs="Calibri"/>
          <w:sz w:val="22"/>
          <w:szCs w:val="22"/>
          <w:lang w:eastAsia="en-AU"/>
        </w:rPr>
        <w:t xml:space="preserve">independent decision-maker, making a legally binding determination that will be documented in 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certificate.  </w:t>
      </w:r>
    </w:p>
    <w:p w14:paraId="5B17B031"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36CF3CB1" w14:textId="77777777" w:rsidR="00BA3697" w:rsidRPr="0002753E" w:rsidRDefault="00BA3697" w:rsidP="00BA3697">
      <w:pPr>
        <w:spacing w:line="360" w:lineRule="auto"/>
        <w:rPr>
          <w:rFonts w:ascii="Calibri" w:hAnsi="Calibri" w:cs="Calibri"/>
          <w:b/>
          <w:sz w:val="22"/>
          <w:szCs w:val="22"/>
        </w:rPr>
      </w:pPr>
      <w:bookmarkStart w:id="29" w:name="_Toc325044394"/>
      <w:r w:rsidRPr="0002753E">
        <w:rPr>
          <w:rFonts w:ascii="Calibri" w:hAnsi="Calibri" w:cs="Calibri"/>
          <w:b/>
          <w:sz w:val="22"/>
          <w:szCs w:val="22"/>
        </w:rPr>
        <w:t>1</w:t>
      </w:r>
      <w:r w:rsidR="00232C1C">
        <w:rPr>
          <w:rFonts w:ascii="Calibri" w:hAnsi="Calibri" w:cs="Calibri"/>
          <w:b/>
          <w:sz w:val="22"/>
          <w:szCs w:val="22"/>
        </w:rPr>
        <w:t>1</w:t>
      </w:r>
      <w:r w:rsidRPr="0002753E">
        <w:rPr>
          <w:rFonts w:ascii="Calibri" w:hAnsi="Calibri" w:cs="Calibri"/>
          <w:b/>
          <w:sz w:val="22"/>
          <w:szCs w:val="22"/>
        </w:rPr>
        <w:tab/>
        <w:t>Use of interpreters in assessments and clinical examinations</w:t>
      </w:r>
      <w:bookmarkEnd w:id="29"/>
      <w:r w:rsidRPr="0002753E">
        <w:rPr>
          <w:rFonts w:ascii="Calibri" w:hAnsi="Calibri" w:cs="Calibri"/>
          <w:b/>
          <w:sz w:val="22"/>
          <w:szCs w:val="22"/>
        </w:rPr>
        <w:t xml:space="preserve">  </w:t>
      </w:r>
    </w:p>
    <w:p w14:paraId="47581390"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1</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r>
      <w:r w:rsidR="006A1115">
        <w:rPr>
          <w:rFonts w:ascii="Calibri" w:eastAsia="Times New Roman" w:hAnsi="Calibri" w:cs="Calibri"/>
          <w:sz w:val="22"/>
          <w:szCs w:val="22"/>
          <w:lang w:eastAsia="en-AU"/>
        </w:rPr>
        <w:t>Arrangements will be made for</w:t>
      </w:r>
      <w:r w:rsidRPr="0002753E">
        <w:rPr>
          <w:rFonts w:ascii="Calibri" w:eastAsia="Times New Roman" w:hAnsi="Calibri" w:cs="Calibri"/>
          <w:sz w:val="22"/>
          <w:szCs w:val="22"/>
          <w:lang w:eastAsia="en-AU"/>
        </w:rPr>
        <w:t xml:space="preserve"> an interpreter accredited by NAATI (National Accreditation Authority for Translators and Interpreters) if an interpreter is required or is requested.  If a NAATI interpreter is not available, a non-NAATI interpreter may be used at the discretion of 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7808C1">
        <w:rPr>
          <w:rFonts w:ascii="Calibri" w:eastAsia="Times New Roman" w:hAnsi="Calibri" w:cs="Calibri"/>
          <w:sz w:val="22"/>
          <w:szCs w:val="22"/>
          <w:lang w:eastAsia="en-AU"/>
        </w:rPr>
        <w:t xml:space="preserve">or Review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w:t>
      </w:r>
    </w:p>
    <w:p w14:paraId="18F35D2C" w14:textId="314DF0FE"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1</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Any person accompanying the injured person to an examination or assessment, such as a carer or </w:t>
      </w:r>
      <w:r w:rsidRPr="0002753E">
        <w:rPr>
          <w:rFonts w:ascii="Calibri" w:eastAsia="Times New Roman" w:hAnsi="Calibri" w:cs="Calibri"/>
          <w:sz w:val="22"/>
          <w:szCs w:val="22"/>
          <w:lang w:eastAsia="en-AU"/>
        </w:rPr>
        <w:lastRenderedPageBreak/>
        <w:t xml:space="preserve">support person, cannot act as an interpreter. </w:t>
      </w:r>
      <w:r w:rsidRPr="0002753E">
        <w:rPr>
          <w:rFonts w:ascii="Calibri" w:eastAsia="Times New Roman" w:hAnsi="Calibri" w:cs="Calibri"/>
          <w:b/>
          <w:sz w:val="22"/>
          <w:szCs w:val="22"/>
          <w:lang w:eastAsia="en-AU"/>
        </w:rPr>
        <w:t xml:space="preserve">  </w:t>
      </w:r>
    </w:p>
    <w:p w14:paraId="4B4A1D0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54775CB" w14:textId="77777777" w:rsidR="00BA3697" w:rsidRPr="0002753E" w:rsidRDefault="00BA3697" w:rsidP="00BA3697">
      <w:pPr>
        <w:spacing w:line="360" w:lineRule="auto"/>
        <w:rPr>
          <w:rFonts w:ascii="Calibri" w:hAnsi="Calibri" w:cs="Calibri"/>
          <w:b/>
          <w:sz w:val="22"/>
          <w:szCs w:val="22"/>
        </w:rPr>
      </w:pPr>
      <w:bookmarkStart w:id="30" w:name="_Toc325044395"/>
      <w:r w:rsidRPr="0002753E">
        <w:rPr>
          <w:rFonts w:ascii="Calibri" w:hAnsi="Calibri" w:cs="Calibri"/>
          <w:b/>
          <w:sz w:val="22"/>
          <w:szCs w:val="22"/>
        </w:rPr>
        <w:t>1</w:t>
      </w:r>
      <w:r w:rsidR="00232C1C">
        <w:rPr>
          <w:rFonts w:ascii="Calibri" w:hAnsi="Calibri" w:cs="Calibri"/>
          <w:b/>
          <w:sz w:val="22"/>
          <w:szCs w:val="22"/>
        </w:rPr>
        <w:t>2</w:t>
      </w:r>
      <w:r w:rsidRPr="0002753E">
        <w:rPr>
          <w:rFonts w:ascii="Calibri" w:hAnsi="Calibri" w:cs="Calibri"/>
          <w:b/>
          <w:sz w:val="22"/>
          <w:szCs w:val="22"/>
        </w:rPr>
        <w:tab/>
        <w:t xml:space="preserve">Certificate issued by </w:t>
      </w:r>
      <w:r w:rsidR="00587366">
        <w:rPr>
          <w:rFonts w:ascii="Calibri" w:hAnsi="Calibri" w:cs="Calibri"/>
          <w:b/>
          <w:sz w:val="22"/>
          <w:szCs w:val="22"/>
        </w:rPr>
        <w:t>A</w:t>
      </w:r>
      <w:r w:rsidRPr="0002753E">
        <w:rPr>
          <w:rFonts w:ascii="Calibri" w:hAnsi="Calibri" w:cs="Calibri"/>
          <w:b/>
          <w:sz w:val="22"/>
          <w:szCs w:val="22"/>
        </w:rPr>
        <w:t xml:space="preserve">ssessment </w:t>
      </w:r>
      <w:r w:rsidR="00587366">
        <w:rPr>
          <w:rFonts w:ascii="Calibri" w:hAnsi="Calibri" w:cs="Calibri"/>
          <w:b/>
          <w:sz w:val="22"/>
          <w:szCs w:val="22"/>
        </w:rPr>
        <w:t>P</w:t>
      </w:r>
      <w:r w:rsidRPr="0002753E">
        <w:rPr>
          <w:rFonts w:ascii="Calibri" w:hAnsi="Calibri" w:cs="Calibri"/>
          <w:b/>
          <w:sz w:val="22"/>
          <w:szCs w:val="22"/>
        </w:rPr>
        <w:t>anel</w:t>
      </w:r>
      <w:bookmarkEnd w:id="30"/>
      <w:r w:rsidRPr="0002753E">
        <w:rPr>
          <w:rFonts w:ascii="Calibri" w:hAnsi="Calibri" w:cs="Calibri"/>
          <w:b/>
          <w:sz w:val="22"/>
          <w:szCs w:val="22"/>
        </w:rPr>
        <w:t xml:space="preserve"> </w:t>
      </w:r>
    </w:p>
    <w:p w14:paraId="517EE30F"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may hold as many meetings or teleconferences as required in order to finalise their determination. However, in all cases, 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must attempt to resolve the dispute as quickly as possible.  </w:t>
      </w:r>
    </w:p>
    <w:p w14:paraId="0BD98919"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will issue a certificate as to its determination on the dispute under section 14(4) of the Act. The certificate will include written reasons for the determination and will be in the form approved by Lifetime Care. </w:t>
      </w:r>
    </w:p>
    <w:p w14:paraId="336D44F9"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bookmarkStart w:id="31" w:name="OLE_LINK6"/>
      <w:bookmarkStart w:id="32" w:name="OLE_LINK7"/>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ab/>
        <w:t xml:space="preserve">The </w:t>
      </w:r>
      <w:r w:rsidR="00587366">
        <w:rPr>
          <w:rFonts w:ascii="Calibri" w:eastAsia="Times New Roman" w:hAnsi="Calibri" w:cs="Calibri"/>
          <w:sz w:val="22"/>
          <w:szCs w:val="22"/>
          <w:lang w:eastAsia="en-AU"/>
        </w:rPr>
        <w:t>A</w:t>
      </w:r>
      <w:r w:rsidR="00232C1C">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will issue their certificate to all parties to the dispute within 15 working days of their final contact, clinical examination or final teleconference.</w:t>
      </w:r>
    </w:p>
    <w:p w14:paraId="01FBC37A"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2</w:t>
      </w:r>
      <w:r w:rsidRPr="0002753E">
        <w:rPr>
          <w:rFonts w:ascii="Calibri" w:eastAsia="Times New Roman" w:hAnsi="Calibri" w:cs="Calibri"/>
          <w:sz w:val="22"/>
          <w:szCs w:val="22"/>
          <w:lang w:eastAsia="en-AU"/>
        </w:rPr>
        <w:t>.4</w:t>
      </w:r>
      <w:r w:rsidRPr="0002753E">
        <w:rPr>
          <w:rFonts w:ascii="Calibri" w:eastAsia="Times New Roman" w:hAnsi="Calibri" w:cs="Calibri"/>
          <w:sz w:val="22"/>
          <w:szCs w:val="22"/>
          <w:lang w:eastAsia="en-AU"/>
        </w:rPr>
        <w:tab/>
        <w:t xml:space="preserve">If required, Lifetime Care will implement the determination within 5 working days of receipt. </w:t>
      </w:r>
      <w:bookmarkStart w:id="33" w:name="_Toc325044396"/>
      <w:bookmarkEnd w:id="31"/>
      <w:bookmarkEnd w:id="32"/>
    </w:p>
    <w:p w14:paraId="3286C995"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p>
    <w:p w14:paraId="77F01DB0"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w:t>
      </w:r>
      <w:r w:rsidR="00232C1C">
        <w:rPr>
          <w:rFonts w:ascii="Calibri" w:eastAsia="Times New Roman" w:hAnsi="Calibri" w:cs="Calibri"/>
          <w:b/>
          <w:sz w:val="22"/>
          <w:szCs w:val="22"/>
          <w:lang w:eastAsia="en-AU"/>
        </w:rPr>
        <w:t>3</w:t>
      </w:r>
      <w:r w:rsidRPr="0002753E">
        <w:rPr>
          <w:rFonts w:ascii="Calibri" w:eastAsia="Times New Roman" w:hAnsi="Calibri" w:cs="Calibri"/>
          <w:b/>
          <w:sz w:val="22"/>
          <w:szCs w:val="22"/>
          <w:lang w:eastAsia="en-AU"/>
        </w:rPr>
        <w:tab/>
        <w:t xml:space="preserve">Reviews of </w:t>
      </w:r>
      <w:bookmarkEnd w:id="33"/>
      <w:r w:rsidRPr="0002753E">
        <w:rPr>
          <w:rFonts w:ascii="Calibri" w:eastAsia="Times New Roman" w:hAnsi="Calibri" w:cs="Calibri"/>
          <w:b/>
          <w:sz w:val="22"/>
          <w:szCs w:val="22"/>
          <w:lang w:eastAsia="en-AU"/>
        </w:rPr>
        <w:t>Assessment Panel determinations</w:t>
      </w:r>
    </w:p>
    <w:p w14:paraId="51AFE17F"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Relevant section of the legislation:</w:t>
      </w:r>
    </w:p>
    <w:p w14:paraId="636AA904" w14:textId="77777777" w:rsidR="00BA3697" w:rsidRPr="0002753E" w:rsidRDefault="00BA3697" w:rsidP="00BA3697">
      <w:pPr>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Section </w:t>
      </w:r>
      <w:r>
        <w:rPr>
          <w:rFonts w:ascii="Calibri" w:eastAsia="Times New Roman" w:hAnsi="Calibri" w:cs="Calibri"/>
          <w:sz w:val="22"/>
          <w:szCs w:val="22"/>
          <w:lang w:eastAsia="en-AU"/>
        </w:rPr>
        <w:t xml:space="preserve">15 and 16 </w:t>
      </w:r>
      <w:r w:rsidRPr="0002753E">
        <w:rPr>
          <w:rFonts w:ascii="Calibri" w:eastAsia="Times New Roman" w:hAnsi="Calibri" w:cs="Calibri"/>
          <w:sz w:val="22"/>
          <w:szCs w:val="22"/>
          <w:lang w:eastAsia="en-AU"/>
        </w:rPr>
        <w:t xml:space="preserve">of the </w:t>
      </w: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0DE2DD2A"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b/>
          <w:i/>
          <w:sz w:val="22"/>
          <w:szCs w:val="22"/>
          <w:lang w:eastAsia="en-AU"/>
        </w:rPr>
        <w:t>Motor Accidents (Lifetime Care and Support) Act 2006:</w:t>
      </w:r>
      <w:r w:rsidRPr="0002753E">
        <w:rPr>
          <w:rFonts w:ascii="Calibri" w:eastAsia="Times New Roman" w:hAnsi="Calibri" w:cs="Calibri"/>
          <w:sz w:val="22"/>
          <w:szCs w:val="22"/>
          <w:lang w:eastAsia="en-AU"/>
        </w:rPr>
        <w:t xml:space="preserve"> </w:t>
      </w:r>
    </w:p>
    <w:p w14:paraId="534B5E83"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r w:rsidRPr="0002753E">
        <w:rPr>
          <w:rFonts w:ascii="Calibri" w:eastAsia="Times New Roman" w:hAnsi="Calibri" w:cs="Calibri"/>
          <w:b/>
          <w:sz w:val="22"/>
          <w:szCs w:val="22"/>
          <w:lang w:eastAsia="en-AU"/>
        </w:rPr>
        <w:t>15   Review of Assessment Panel’s determination</w:t>
      </w:r>
    </w:p>
    <w:p w14:paraId="0D75A1A8"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  The determination of an Assessment Panel can be referred for review by a Review Panel, but only on one or more of the following grounds:</w:t>
      </w:r>
    </w:p>
    <w:p w14:paraId="74C76A3E"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  a change in the condition of the injured person, being a change that occurred or that first became apparent after the dispute was referred for determination by the Assessment Panel and that is capable of having a material effect on the determination,</w:t>
      </w:r>
    </w:p>
    <w:p w14:paraId="2143BFEA"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(b)  the availability of additional relevant information about the injury, being information that was not available, or could not reasonably have been obtained, before the dispute was referred for determination by the Assessment Panel and that is capable of having a material effect on the determination,</w:t>
      </w:r>
    </w:p>
    <w:p w14:paraId="3F26435B"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(2)  A determination can be referred for review:</w:t>
      </w:r>
    </w:p>
    <w:p w14:paraId="39F2E19C"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  by or on behalf of the injured person, or</w:t>
      </w:r>
    </w:p>
    <w:p w14:paraId="35C5F890"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(b)  by the insurer of the injured person’s claim, or</w:t>
      </w:r>
    </w:p>
    <w:p w14:paraId="06DD6C74"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(c)  by the Authority.</w:t>
      </w:r>
    </w:p>
    <w:p w14:paraId="77966432"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(3)  The Authority is to convene a panel of 3 assessors to constitute the Review Panel to review the determination of the Assessment Panel.</w:t>
      </w:r>
    </w:p>
    <w:p w14:paraId="5F8ECBFF"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(4)  The Review Panel can confirm the determination of the Assessment Panel or it can revoke that determination, substituting its own determination and giving a certificate as to its determination.</w:t>
      </w:r>
    </w:p>
    <w:p w14:paraId="0434DCF8" w14:textId="77777777" w:rsidR="00BA3697" w:rsidRPr="0002753E"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b/>
          <w:sz w:val="22"/>
          <w:szCs w:val="22"/>
          <w:lang w:eastAsia="en-AU"/>
        </w:rPr>
      </w:pPr>
    </w:p>
    <w:p w14:paraId="7B0DB5B6"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p>
    <w:p w14:paraId="5800F9FB" w14:textId="77777777" w:rsidR="00BA3697" w:rsidRPr="00404E5F" w:rsidRDefault="00BA3697" w:rsidP="00BA3697">
      <w:pPr>
        <w:keepNext/>
        <w:keepLines/>
        <w:widowControl w:val="0"/>
        <w:pBdr>
          <w:top w:val="single" w:sz="4" w:space="1" w:color="auto"/>
          <w:left w:val="single" w:sz="4" w:space="4" w:color="auto"/>
          <w:bottom w:val="single" w:sz="4" w:space="1" w:color="auto"/>
          <w:right w:val="single" w:sz="4" w:space="4" w:color="auto"/>
        </w:pBdr>
        <w:autoSpaceDE w:val="0"/>
        <w:autoSpaceDN w:val="0"/>
        <w:snapToGrid/>
        <w:spacing w:before="5"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lastRenderedPageBreak/>
        <w:t xml:space="preserve"> </w:t>
      </w:r>
      <w:r w:rsidRPr="0002753E">
        <w:rPr>
          <w:rFonts w:ascii="Calibri" w:eastAsia="Times New Roman" w:hAnsi="Calibri" w:cs="Calibri"/>
          <w:b/>
          <w:sz w:val="22"/>
          <w:szCs w:val="22"/>
          <w:lang w:val="en" w:eastAsia="en-AU"/>
        </w:rPr>
        <w:t>16   Determinations to be binding</w:t>
      </w:r>
    </w:p>
    <w:p w14:paraId="3882FD8E" w14:textId="77777777" w:rsidR="00BA3697" w:rsidRPr="00404E5F" w:rsidRDefault="00BA3697" w:rsidP="00BA3697">
      <w:pPr>
        <w:keepNext/>
        <w:keepLines/>
        <w:pBdr>
          <w:top w:val="single" w:sz="4" w:space="1" w:color="auto"/>
          <w:left w:val="single" w:sz="4" w:space="4" w:color="auto"/>
          <w:bottom w:val="single" w:sz="4" w:space="1" w:color="auto"/>
          <w:right w:val="single" w:sz="4" w:space="4" w:color="auto"/>
        </w:pBdr>
        <w:shd w:val="clear" w:color="auto" w:fill="FFFFFF"/>
        <w:adjustRightInd/>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val="en" w:eastAsia="en-AU"/>
        </w:rPr>
        <w:t>The determination of an Assessment Panel (or of a Review Panel on the review of an Assessment Panel’s determination) as to whether a motor accident injury satisfies criteria specified in the LTCS Guidelines for eligibility for participation in the Scheme is final and binding for the purposes of this Act and any proceedings under this Act.</w:t>
      </w:r>
    </w:p>
    <w:p w14:paraId="14461598" w14:textId="77777777" w:rsidR="00BA3697" w:rsidRPr="0002753E" w:rsidRDefault="00BA3697" w:rsidP="00BA3697">
      <w:pPr>
        <w:keepNext/>
        <w:keepLines/>
        <w:widowControl w:val="0"/>
        <w:autoSpaceDE w:val="0"/>
        <w:autoSpaceDN w:val="0"/>
        <w:snapToGrid/>
        <w:spacing w:line="360" w:lineRule="auto"/>
        <w:rPr>
          <w:rFonts w:ascii="Calibri" w:eastAsia="Times New Roman" w:hAnsi="Calibri" w:cs="Calibri"/>
          <w:b/>
          <w:sz w:val="22"/>
          <w:szCs w:val="22"/>
          <w:lang w:eastAsia="en-AU"/>
        </w:rPr>
      </w:pPr>
    </w:p>
    <w:p w14:paraId="5FB71600"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A party to a dispute may apply for review of the determination of the </w:t>
      </w:r>
      <w:r w:rsidR="00587366">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under section 15(2) of the Act. </w:t>
      </w:r>
    </w:p>
    <w:p w14:paraId="0DD3D72B" w14:textId="77777777" w:rsidR="00BA3697" w:rsidRPr="0002753E" w:rsidRDefault="00BA3697" w:rsidP="002E74DC">
      <w:pPr>
        <w:widowControl w:val="0"/>
        <w:autoSpaceDE w:val="0"/>
        <w:autoSpaceDN w:val="0"/>
        <w:snapToGrid/>
        <w:spacing w:line="360" w:lineRule="auto"/>
        <w:ind w:firstLine="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Applications for review are to be sent to</w:t>
      </w:r>
      <w:r w:rsidR="00232C1C">
        <w:rPr>
          <w:rFonts w:ascii="Calibri" w:eastAsia="Times New Roman" w:hAnsi="Calibri" w:cs="Calibri"/>
          <w:sz w:val="22"/>
          <w:szCs w:val="22"/>
          <w:lang w:eastAsia="en-AU"/>
        </w:rPr>
        <w:t xml:space="preserve"> Lifetime Care.</w:t>
      </w:r>
    </w:p>
    <w:p w14:paraId="12F245F2" w14:textId="77777777" w:rsidR="00BA3697" w:rsidRPr="0002753E" w:rsidRDefault="00BA3697" w:rsidP="00BA3697">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Applications for review can only seek review of a determination made by an </w:t>
      </w:r>
      <w:r w:rsidR="00587366">
        <w:rPr>
          <w:rFonts w:ascii="Calibri" w:eastAsia="Times New Roman" w:hAnsi="Calibri" w:cs="Calibri"/>
          <w:sz w:val="22"/>
          <w:szCs w:val="22"/>
          <w:lang w:eastAsia="en-AU"/>
        </w:rPr>
        <w:t>A</w:t>
      </w:r>
      <w:r w:rsidRPr="0002753E">
        <w:rPr>
          <w:rFonts w:ascii="Calibri" w:eastAsia="Times New Roman" w:hAnsi="Calibri" w:cs="Calibri"/>
          <w:sz w:val="22"/>
          <w:szCs w:val="22"/>
          <w:lang w:eastAsia="en-AU"/>
        </w:rPr>
        <w:t xml:space="preserve">ssessment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r w:rsidR="00232C1C">
        <w:rPr>
          <w:rFonts w:ascii="Calibri" w:eastAsia="Times New Roman" w:hAnsi="Calibri" w:cs="Calibri"/>
          <w:sz w:val="22"/>
          <w:szCs w:val="22"/>
          <w:lang w:eastAsia="en-AU"/>
        </w:rPr>
        <w:t xml:space="preserve">under section 14 </w:t>
      </w:r>
      <w:r w:rsidRPr="0002753E">
        <w:rPr>
          <w:rFonts w:ascii="Calibri" w:eastAsia="Times New Roman" w:hAnsi="Calibri" w:cs="Calibri"/>
          <w:sz w:val="22"/>
          <w:szCs w:val="22"/>
          <w:lang w:eastAsia="en-AU"/>
        </w:rPr>
        <w:t xml:space="preserve">and cannot seek review of a determination made by a </w:t>
      </w:r>
      <w:r w:rsidR="00587366">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737206AA"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.3 </w:t>
      </w:r>
      <w:r w:rsidRPr="0002753E">
        <w:rPr>
          <w:rFonts w:ascii="Calibri" w:eastAsia="Times New Roman" w:hAnsi="Calibri" w:cs="Calibri"/>
          <w:sz w:val="22"/>
          <w:szCs w:val="22"/>
          <w:lang w:eastAsia="en-AU"/>
        </w:rPr>
        <w:tab/>
        <w:t xml:space="preserve">An application for review must: </w:t>
      </w:r>
    </w:p>
    <w:p w14:paraId="787698F9" w14:textId="77777777" w:rsidR="00BA3697" w:rsidRPr="0002753E" w:rsidRDefault="00BA3697" w:rsidP="00BA369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be in writing (letter or email); </w:t>
      </w:r>
    </w:p>
    <w:p w14:paraId="78D773FA" w14:textId="77777777" w:rsidR="00BA3697" w:rsidRPr="0002753E" w:rsidRDefault="00BA3697" w:rsidP="00BA369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the participant’s name, address and contact details;</w:t>
      </w:r>
    </w:p>
    <w:p w14:paraId="7C8930D5" w14:textId="77777777" w:rsidR="00BA3697" w:rsidRPr="0002753E" w:rsidRDefault="00BA3697" w:rsidP="00BA369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include a clear statement as to why a review is requested</w:t>
      </w:r>
      <w:r w:rsidR="00232C1C">
        <w:rPr>
          <w:rFonts w:ascii="Calibri" w:eastAsia="Times New Roman" w:hAnsi="Calibri" w:cs="Calibri"/>
          <w:sz w:val="22"/>
          <w:szCs w:val="22"/>
          <w:lang w:eastAsia="en-AU"/>
        </w:rPr>
        <w:t xml:space="preserve">, including an identification of the applicable ground or grounds for review listed in section 15 of the Act, </w:t>
      </w:r>
      <w:r w:rsidRPr="0002753E">
        <w:rPr>
          <w:rFonts w:ascii="Calibri" w:eastAsia="Times New Roman" w:hAnsi="Calibri" w:cs="Calibri"/>
          <w:sz w:val="22"/>
          <w:szCs w:val="22"/>
          <w:lang w:eastAsia="en-AU"/>
        </w:rPr>
        <w:t>together with reasons; and</w:t>
      </w:r>
    </w:p>
    <w:p w14:paraId="362354B0" w14:textId="77777777" w:rsidR="00BA3697" w:rsidRPr="0002753E" w:rsidRDefault="00BA3697" w:rsidP="00BA3697">
      <w:pPr>
        <w:widowControl w:val="0"/>
        <w:numPr>
          <w:ilvl w:val="0"/>
          <w:numId w:val="31"/>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attach any relevant information or medical reports that are relevant to the review application.       </w:t>
      </w:r>
    </w:p>
    <w:p w14:paraId="0474C0C7" w14:textId="77777777" w:rsidR="00232C1C"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 xml:space="preserve">.4 </w:t>
      </w:r>
      <w:r w:rsidRPr="0002753E">
        <w:rPr>
          <w:rFonts w:ascii="Calibri" w:eastAsia="Times New Roman" w:hAnsi="Calibri" w:cs="Calibri"/>
          <w:sz w:val="22"/>
          <w:szCs w:val="22"/>
          <w:lang w:eastAsia="en-AU"/>
        </w:rPr>
        <w:tab/>
      </w:r>
      <w:r w:rsidR="00232C1C">
        <w:rPr>
          <w:rFonts w:ascii="Calibri" w:eastAsia="Times New Roman" w:hAnsi="Calibri" w:cs="Calibri"/>
          <w:sz w:val="22"/>
          <w:szCs w:val="22"/>
          <w:lang w:eastAsia="en-AU"/>
        </w:rPr>
        <w:t xml:space="preserve">If Lifetime Care is the applicant for review, it is required to advise the other parties in writing prior to the submission of any application for review, including the information set out in 13.3 above, and seek submissions in response. </w:t>
      </w:r>
    </w:p>
    <w:p w14:paraId="0E1447CC" w14:textId="77777777" w:rsidR="00232C1C" w:rsidRPr="00002055" w:rsidRDefault="00BA3697" w:rsidP="00002055">
      <w:pPr>
        <w:pStyle w:val="ListParagraph"/>
        <w:widowControl w:val="0"/>
        <w:numPr>
          <w:ilvl w:val="1"/>
          <w:numId w:val="41"/>
        </w:numPr>
        <w:autoSpaceDE w:val="0"/>
        <w:autoSpaceDN w:val="0"/>
        <w:snapToGrid/>
        <w:spacing w:line="360" w:lineRule="auto"/>
        <w:rPr>
          <w:rFonts w:ascii="Calibri" w:eastAsia="Times New Roman" w:hAnsi="Calibri" w:cs="Calibri"/>
          <w:sz w:val="22"/>
          <w:szCs w:val="22"/>
          <w:lang w:eastAsia="en-AU"/>
        </w:rPr>
      </w:pPr>
      <w:r w:rsidRPr="00002055">
        <w:rPr>
          <w:rFonts w:ascii="Calibri" w:eastAsia="Times New Roman" w:hAnsi="Calibri" w:cs="Calibri"/>
          <w:sz w:val="22"/>
          <w:szCs w:val="22"/>
          <w:lang w:eastAsia="en-AU"/>
        </w:rPr>
        <w:t xml:space="preserve">The application for review may be </w:t>
      </w:r>
      <w:r w:rsidR="00232C1C" w:rsidRPr="00002055">
        <w:rPr>
          <w:rFonts w:ascii="Calibri" w:eastAsia="Times New Roman" w:hAnsi="Calibri" w:cs="Calibri"/>
          <w:sz w:val="22"/>
          <w:szCs w:val="22"/>
          <w:lang w:eastAsia="en-AU"/>
        </w:rPr>
        <w:t>dismissed:</w:t>
      </w:r>
    </w:p>
    <w:p w14:paraId="3B1304BF" w14:textId="77777777" w:rsidR="00002055" w:rsidRPr="00A64F81" w:rsidRDefault="00BA3697" w:rsidP="00002055">
      <w:pPr>
        <w:pStyle w:val="ListParagraph"/>
        <w:widowControl w:val="0"/>
        <w:numPr>
          <w:ilvl w:val="0"/>
          <w:numId w:val="42"/>
        </w:numPr>
        <w:autoSpaceDE w:val="0"/>
        <w:autoSpaceDN w:val="0"/>
        <w:snapToGrid/>
        <w:spacing w:line="360" w:lineRule="auto"/>
        <w:rPr>
          <w:rFonts w:ascii="Calibri" w:eastAsia="Times New Roman" w:hAnsi="Calibri" w:cs="Calibri"/>
          <w:sz w:val="22"/>
          <w:szCs w:val="22"/>
          <w:lang w:eastAsia="en-AU"/>
        </w:rPr>
      </w:pPr>
      <w:r w:rsidRPr="00A64F81">
        <w:rPr>
          <w:rFonts w:ascii="Calibri" w:eastAsia="Times New Roman" w:hAnsi="Calibri" w:cs="Calibri"/>
          <w:sz w:val="22"/>
          <w:szCs w:val="22"/>
          <w:lang w:eastAsia="en-AU"/>
        </w:rPr>
        <w:t xml:space="preserve">if it is not received within 6 months of receipt of the </w:t>
      </w:r>
      <w:r w:rsidR="00587366" w:rsidRPr="00A64F81">
        <w:rPr>
          <w:rFonts w:ascii="Calibri" w:eastAsia="Times New Roman" w:hAnsi="Calibri" w:cs="Calibri"/>
          <w:sz w:val="22"/>
          <w:szCs w:val="22"/>
          <w:lang w:eastAsia="en-AU"/>
        </w:rPr>
        <w:t>A</w:t>
      </w:r>
      <w:r w:rsidRPr="00A64F81">
        <w:rPr>
          <w:rFonts w:ascii="Calibri" w:eastAsia="Times New Roman" w:hAnsi="Calibri" w:cs="Calibri"/>
          <w:sz w:val="22"/>
          <w:szCs w:val="22"/>
          <w:lang w:eastAsia="en-AU"/>
        </w:rPr>
        <w:t xml:space="preserve">ssessment </w:t>
      </w:r>
      <w:r w:rsidR="00587366" w:rsidRPr="00A64F81">
        <w:rPr>
          <w:rFonts w:ascii="Calibri" w:eastAsia="Times New Roman" w:hAnsi="Calibri" w:cs="Calibri"/>
          <w:sz w:val="22"/>
          <w:szCs w:val="22"/>
          <w:lang w:eastAsia="en-AU"/>
        </w:rPr>
        <w:t>P</w:t>
      </w:r>
      <w:r w:rsidRPr="00A64F81">
        <w:rPr>
          <w:rFonts w:ascii="Calibri" w:eastAsia="Times New Roman" w:hAnsi="Calibri" w:cs="Calibri"/>
          <w:sz w:val="22"/>
          <w:szCs w:val="22"/>
          <w:lang w:eastAsia="en-AU"/>
        </w:rPr>
        <w:t>anel certificate</w:t>
      </w:r>
      <w:r w:rsidR="00232C1C" w:rsidRPr="00A64F81">
        <w:rPr>
          <w:rFonts w:ascii="Calibri" w:eastAsia="Times New Roman" w:hAnsi="Calibri" w:cs="Calibri"/>
          <w:sz w:val="22"/>
          <w:szCs w:val="22"/>
          <w:lang w:eastAsia="en-AU"/>
        </w:rPr>
        <w:t>; or</w:t>
      </w:r>
    </w:p>
    <w:p w14:paraId="63A9F098" w14:textId="77777777" w:rsidR="00BA3697" w:rsidRPr="00A64F81" w:rsidRDefault="00232C1C" w:rsidP="00002055">
      <w:pPr>
        <w:pStyle w:val="ListParagraph"/>
        <w:widowControl w:val="0"/>
        <w:numPr>
          <w:ilvl w:val="0"/>
          <w:numId w:val="42"/>
        </w:numPr>
        <w:autoSpaceDE w:val="0"/>
        <w:autoSpaceDN w:val="0"/>
        <w:snapToGrid/>
        <w:spacing w:line="360" w:lineRule="auto"/>
        <w:rPr>
          <w:rFonts w:ascii="Calibri" w:eastAsia="Times New Roman" w:hAnsi="Calibri" w:cs="Calibri"/>
          <w:sz w:val="22"/>
          <w:szCs w:val="22"/>
          <w:lang w:eastAsia="en-AU"/>
        </w:rPr>
      </w:pPr>
      <w:r w:rsidRPr="00A64F81">
        <w:rPr>
          <w:rFonts w:ascii="Calibri" w:hAnsi="Calibri"/>
          <w:sz w:val="22"/>
          <w:szCs w:val="22"/>
          <w:lang w:eastAsia="en-AU"/>
        </w:rPr>
        <w:t>it does not identify, on its face, one or more of the grounds set out in section 15(1) of the Act</w:t>
      </w:r>
      <w:r w:rsidR="00002055" w:rsidRPr="00A64F81">
        <w:rPr>
          <w:rFonts w:ascii="Calibri" w:hAnsi="Calibri"/>
          <w:sz w:val="22"/>
          <w:szCs w:val="22"/>
          <w:lang w:eastAsia="en-AU"/>
        </w:rPr>
        <w:t xml:space="preserve">. </w:t>
      </w:r>
    </w:p>
    <w:p w14:paraId="097FF5ED" w14:textId="1622FD45"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bCs/>
          <w:sz w:val="22"/>
          <w:szCs w:val="22"/>
          <w:lang w:eastAsia="en-AU"/>
        </w:rPr>
        <w:t>1</w:t>
      </w:r>
      <w:r w:rsidR="00232C1C">
        <w:rPr>
          <w:rFonts w:ascii="Calibri" w:eastAsia="Times New Roman" w:hAnsi="Calibri" w:cs="Calibri"/>
          <w:bCs/>
          <w:sz w:val="22"/>
          <w:szCs w:val="22"/>
          <w:lang w:eastAsia="en-AU"/>
        </w:rPr>
        <w:t>3.6</w:t>
      </w:r>
      <w:r w:rsidRPr="0002753E">
        <w:rPr>
          <w:rFonts w:ascii="Calibri" w:eastAsia="Times New Roman" w:hAnsi="Calibri" w:cs="Calibri"/>
          <w:bCs/>
          <w:sz w:val="22"/>
          <w:szCs w:val="22"/>
          <w:lang w:eastAsia="en-AU"/>
        </w:rPr>
        <w:t xml:space="preserve"> </w:t>
      </w:r>
      <w:r w:rsidRPr="0002753E">
        <w:rPr>
          <w:rFonts w:ascii="Calibri" w:eastAsia="Times New Roman" w:hAnsi="Calibri" w:cs="Calibri"/>
          <w:bCs/>
          <w:sz w:val="22"/>
          <w:szCs w:val="22"/>
          <w:lang w:eastAsia="en-AU"/>
        </w:rPr>
        <w:tab/>
      </w:r>
      <w:r w:rsidRPr="0002753E">
        <w:rPr>
          <w:rFonts w:ascii="Calibri" w:eastAsia="Times New Roman" w:hAnsi="Calibri" w:cs="Calibri"/>
          <w:sz w:val="22"/>
          <w:szCs w:val="22"/>
          <w:lang w:eastAsia="en-AU"/>
        </w:rPr>
        <w:t>Lifetime Care may extend the 6</w:t>
      </w:r>
      <w:r w:rsidR="00085442">
        <w:rPr>
          <w:rFonts w:ascii="Calibri" w:eastAsia="Times New Roman" w:hAnsi="Calibri" w:cs="Calibri"/>
          <w:sz w:val="22"/>
          <w:szCs w:val="22"/>
          <w:lang w:eastAsia="en-AU"/>
        </w:rPr>
        <w:t>-</w:t>
      </w:r>
      <w:r w:rsidRPr="0002753E">
        <w:rPr>
          <w:rFonts w:ascii="Calibri" w:eastAsia="Times New Roman" w:hAnsi="Calibri" w:cs="Calibri"/>
          <w:sz w:val="22"/>
          <w:szCs w:val="22"/>
          <w:lang w:eastAsia="en-AU"/>
        </w:rPr>
        <w:t xml:space="preserve">month time limit if exceptional circumstances exist. Lifetime Care may seek submissions from the other party or parties to the dispute before deciding to extend any time limit. </w:t>
      </w:r>
    </w:p>
    <w:p w14:paraId="0D0A3E7F" w14:textId="77777777" w:rsidR="00002055"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w:t>
      </w:r>
      <w:r w:rsidR="00232C1C">
        <w:rPr>
          <w:rFonts w:ascii="Calibri" w:eastAsia="Times New Roman" w:hAnsi="Calibri" w:cs="Calibri"/>
          <w:sz w:val="22"/>
          <w:szCs w:val="22"/>
          <w:lang w:eastAsia="en-AU"/>
        </w:rPr>
        <w:t>7</w:t>
      </w:r>
      <w:r w:rsidRPr="0002753E">
        <w:rPr>
          <w:rFonts w:ascii="Calibri" w:eastAsia="Times New Roman" w:hAnsi="Calibri" w:cs="Calibri"/>
          <w:sz w:val="22"/>
          <w:szCs w:val="22"/>
          <w:lang w:eastAsia="en-AU"/>
        </w:rPr>
        <w:tab/>
      </w:r>
      <w:r w:rsidR="00002055">
        <w:rPr>
          <w:rFonts w:ascii="Calibri" w:eastAsia="Times New Roman" w:hAnsi="Calibri" w:cs="Calibri"/>
          <w:sz w:val="22"/>
          <w:szCs w:val="22"/>
          <w:lang w:eastAsia="en-AU"/>
        </w:rPr>
        <w:t>Lifetime Care may decline to make submissions in response to an application ma</w:t>
      </w:r>
      <w:r w:rsidR="00587366">
        <w:rPr>
          <w:rFonts w:ascii="Calibri" w:eastAsia="Times New Roman" w:hAnsi="Calibri" w:cs="Calibri"/>
          <w:sz w:val="22"/>
          <w:szCs w:val="22"/>
          <w:lang w:eastAsia="en-AU"/>
        </w:rPr>
        <w:t>d</w:t>
      </w:r>
      <w:r w:rsidR="00002055">
        <w:rPr>
          <w:rFonts w:ascii="Calibri" w:eastAsia="Times New Roman" w:hAnsi="Calibri" w:cs="Calibri"/>
          <w:sz w:val="22"/>
          <w:szCs w:val="22"/>
          <w:lang w:eastAsia="en-AU"/>
        </w:rPr>
        <w:t xml:space="preserve">e by the </w:t>
      </w:r>
      <w:r w:rsidR="00A64F81">
        <w:rPr>
          <w:rFonts w:ascii="Calibri" w:eastAsia="Times New Roman" w:hAnsi="Calibri" w:cs="Calibri"/>
          <w:sz w:val="22"/>
          <w:szCs w:val="22"/>
          <w:lang w:eastAsia="en-AU"/>
        </w:rPr>
        <w:t>p</w:t>
      </w:r>
      <w:r w:rsidR="00E85F05">
        <w:rPr>
          <w:rFonts w:ascii="Calibri" w:eastAsia="Times New Roman" w:hAnsi="Calibri" w:cs="Calibri"/>
          <w:sz w:val="22"/>
          <w:szCs w:val="22"/>
          <w:lang w:eastAsia="en-AU"/>
        </w:rPr>
        <w:t>articipant. However, Lifetime C</w:t>
      </w:r>
      <w:r w:rsidR="00002055">
        <w:rPr>
          <w:rFonts w:ascii="Calibri" w:eastAsia="Times New Roman" w:hAnsi="Calibri" w:cs="Calibri"/>
          <w:sz w:val="22"/>
          <w:szCs w:val="22"/>
          <w:lang w:eastAsia="en-AU"/>
        </w:rPr>
        <w:t xml:space="preserve">are is obliged to apply for review if it identifies a potential ground for review, or to provide submissions if it concurs with any of the applicant’s stated grounds for review. </w:t>
      </w:r>
    </w:p>
    <w:p w14:paraId="5D0C46DB" w14:textId="77777777" w:rsidR="00BA3697" w:rsidRPr="0002753E" w:rsidRDefault="00002055"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13.8</w:t>
      </w:r>
      <w:r>
        <w:rPr>
          <w:rFonts w:ascii="Calibri" w:eastAsia="Times New Roman" w:hAnsi="Calibri" w:cs="Calibri"/>
          <w:sz w:val="22"/>
          <w:szCs w:val="22"/>
          <w:lang w:eastAsia="en-AU"/>
        </w:rPr>
        <w:tab/>
      </w:r>
      <w:r w:rsidR="00BA3697" w:rsidRPr="0002753E">
        <w:rPr>
          <w:rFonts w:ascii="Calibri" w:eastAsia="Times New Roman" w:hAnsi="Calibri" w:cs="Calibri"/>
          <w:sz w:val="22"/>
          <w:szCs w:val="22"/>
          <w:lang w:eastAsia="en-AU"/>
        </w:rPr>
        <w:t xml:space="preserve">Lifetime Care will acknowledge the application within 10 working days of </w:t>
      </w:r>
      <w:r w:rsidRPr="0002753E">
        <w:rPr>
          <w:rFonts w:ascii="Calibri" w:eastAsia="Times New Roman" w:hAnsi="Calibri" w:cs="Calibri"/>
          <w:sz w:val="22"/>
          <w:szCs w:val="22"/>
          <w:lang w:eastAsia="en-AU"/>
        </w:rPr>
        <w:t>receipt and</w:t>
      </w:r>
      <w:r w:rsidR="00BA3697" w:rsidRPr="0002753E">
        <w:rPr>
          <w:rFonts w:ascii="Calibri" w:eastAsia="Times New Roman" w:hAnsi="Calibri" w:cs="Calibri"/>
          <w:sz w:val="22"/>
          <w:szCs w:val="22"/>
          <w:lang w:eastAsia="en-AU"/>
        </w:rPr>
        <w:t xml:space="preserve"> provide a copy of the review application to any other party within 10 working days of receipt, after which time any other party has 20 working days in which to make a submission </w:t>
      </w:r>
      <w:r>
        <w:rPr>
          <w:rFonts w:ascii="Calibri" w:eastAsia="Times New Roman" w:hAnsi="Calibri" w:cs="Calibri"/>
          <w:sz w:val="22"/>
          <w:szCs w:val="22"/>
          <w:lang w:eastAsia="en-AU"/>
        </w:rPr>
        <w:t xml:space="preserve">to whether the dispute application should be referred to the review panel or dismissed pursuant to clause 13.5 above. </w:t>
      </w:r>
      <w:r w:rsidR="00BA3697" w:rsidRPr="0002753E">
        <w:rPr>
          <w:rFonts w:ascii="Calibri" w:eastAsia="Times New Roman" w:hAnsi="Calibri" w:cs="Calibri"/>
          <w:sz w:val="22"/>
          <w:szCs w:val="22"/>
          <w:lang w:eastAsia="en-AU"/>
        </w:rPr>
        <w:t xml:space="preserve">  </w:t>
      </w:r>
    </w:p>
    <w:p w14:paraId="3B072CA8" w14:textId="575AEDFF" w:rsidR="00BA3697" w:rsidRPr="0002753E" w:rsidRDefault="00BA3697" w:rsidP="00F74FBB">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w:t>
      </w:r>
      <w:r w:rsidR="00232C1C">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is to provide the requested information to Lifetime Care within 10 working days of </w:t>
      </w:r>
      <w:r w:rsidRPr="0002753E">
        <w:rPr>
          <w:rFonts w:ascii="Calibri" w:eastAsia="Times New Roman" w:hAnsi="Calibri" w:cs="Calibri"/>
          <w:sz w:val="22"/>
          <w:szCs w:val="22"/>
          <w:lang w:eastAsia="en-AU"/>
        </w:rPr>
        <w:lastRenderedPageBreak/>
        <w:t xml:space="preserve">receipt of any request. </w:t>
      </w:r>
    </w:p>
    <w:p w14:paraId="1D48EE7E"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232C1C">
        <w:rPr>
          <w:rFonts w:ascii="Calibri" w:eastAsia="Times New Roman" w:hAnsi="Calibri" w:cs="Calibri"/>
          <w:sz w:val="22"/>
          <w:szCs w:val="22"/>
          <w:lang w:eastAsia="en-AU"/>
        </w:rPr>
        <w:t>3</w:t>
      </w:r>
      <w:r w:rsidRPr="0002753E">
        <w:rPr>
          <w:rFonts w:ascii="Calibri" w:eastAsia="Times New Roman" w:hAnsi="Calibri" w:cs="Calibri"/>
          <w:sz w:val="22"/>
          <w:szCs w:val="22"/>
          <w:lang w:eastAsia="en-AU"/>
        </w:rPr>
        <w:t>.</w:t>
      </w:r>
      <w:r w:rsidR="00F74FBB">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Lifetime Care will advise the applicant for review and any other party as to whether the application is to be referred to a </w:t>
      </w:r>
      <w:r w:rsidR="00587366">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or is dismissed, supported by a brief statement of reasons, within 5 working days of </w:t>
      </w:r>
      <w:r w:rsidR="00F74FBB">
        <w:rPr>
          <w:rFonts w:ascii="Calibri" w:eastAsia="Times New Roman" w:hAnsi="Calibri" w:cs="Calibri"/>
          <w:sz w:val="22"/>
          <w:szCs w:val="22"/>
          <w:lang w:eastAsia="en-AU"/>
        </w:rPr>
        <w:t xml:space="preserve">receiving submissions from all parties or, if there is any party which does not make submissions, within 5 working days of the last date for the provision of submissions. </w:t>
      </w:r>
      <w:r w:rsidRPr="0002753E">
        <w:rPr>
          <w:rFonts w:ascii="Calibri" w:eastAsia="Times New Roman" w:hAnsi="Calibri" w:cs="Calibri"/>
          <w:sz w:val="22"/>
          <w:szCs w:val="22"/>
          <w:lang w:eastAsia="en-AU"/>
        </w:rPr>
        <w:t xml:space="preserve"> </w:t>
      </w:r>
    </w:p>
    <w:p w14:paraId="11F219DD" w14:textId="77777777" w:rsidR="00BA3697"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0FD6EEB5" w14:textId="77777777" w:rsidR="00F74FBB" w:rsidRPr="00F74FBB" w:rsidRDefault="00F74FBB" w:rsidP="00F74FBB">
      <w:pPr>
        <w:pStyle w:val="ListParagraph"/>
        <w:numPr>
          <w:ilvl w:val="0"/>
          <w:numId w:val="41"/>
        </w:numPr>
        <w:spacing w:line="360" w:lineRule="auto"/>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tab/>
      </w:r>
      <w:r w:rsidRPr="00F74FBB">
        <w:rPr>
          <w:rFonts w:ascii="Calibri" w:hAnsi="Calibri" w:cs="Calibri"/>
          <w:b/>
          <w:sz w:val="22"/>
          <w:szCs w:val="22"/>
        </w:rPr>
        <w:t>Alternative to review</w:t>
      </w:r>
    </w:p>
    <w:p w14:paraId="43904ACE" w14:textId="77777777" w:rsidR="00F74FBB" w:rsidRDefault="00F74FBB" w:rsidP="00F74FBB">
      <w:pPr>
        <w:spacing w:line="360" w:lineRule="auto"/>
        <w:ind w:left="720" w:hanging="720"/>
        <w:rPr>
          <w:rFonts w:ascii="Calibri" w:hAnsi="Calibri" w:cs="Calibri"/>
          <w:b/>
          <w:sz w:val="22"/>
          <w:szCs w:val="22"/>
        </w:rPr>
      </w:pPr>
      <w:r>
        <w:rPr>
          <w:rFonts w:ascii="Calibri" w:hAnsi="Calibri" w:cs="Calibri"/>
          <w:sz w:val="22"/>
          <w:szCs w:val="22"/>
        </w:rPr>
        <w:t>14.1</w:t>
      </w:r>
      <w:r>
        <w:rPr>
          <w:rFonts w:ascii="Calibri" w:hAnsi="Calibri" w:cs="Calibri"/>
          <w:sz w:val="22"/>
          <w:szCs w:val="22"/>
        </w:rPr>
        <w:tab/>
        <w:t>In a case where the review application relates to section 15(1)(a) and/or 15(1)(b) of the Act and the injured person is not an interim or lifetime participant at the time of the review application, if Lifetime Care forms the view that one or both of the following applies:</w:t>
      </w:r>
      <w:r w:rsidRPr="00F74FBB">
        <w:rPr>
          <w:rFonts w:ascii="Calibri" w:hAnsi="Calibri" w:cs="Calibri"/>
          <w:b/>
          <w:sz w:val="22"/>
          <w:szCs w:val="22"/>
        </w:rPr>
        <w:t xml:space="preserve"> </w:t>
      </w:r>
    </w:p>
    <w:p w14:paraId="11928B65" w14:textId="77777777" w:rsidR="00971557" w:rsidRPr="00587366" w:rsidRDefault="00F74FBB" w:rsidP="00587366">
      <w:pPr>
        <w:pStyle w:val="ListParagraph"/>
        <w:numPr>
          <w:ilvl w:val="0"/>
          <w:numId w:val="43"/>
        </w:numPr>
        <w:spacing w:line="360" w:lineRule="auto"/>
        <w:rPr>
          <w:rFonts w:ascii="Calibri" w:hAnsi="Calibri" w:cs="Calibri"/>
          <w:sz w:val="22"/>
          <w:szCs w:val="22"/>
        </w:rPr>
      </w:pPr>
      <w:r w:rsidRPr="00587366">
        <w:rPr>
          <w:rFonts w:ascii="Calibri" w:hAnsi="Calibri" w:cs="Calibri"/>
          <w:sz w:val="22"/>
          <w:szCs w:val="22"/>
        </w:rPr>
        <w:t>the review application contains information that may allow Lifetime Care to make an eligibility decision;</w:t>
      </w:r>
    </w:p>
    <w:p w14:paraId="3DFA4AE7" w14:textId="77777777" w:rsidR="00F74FBB" w:rsidRPr="00587366" w:rsidRDefault="00F74FBB" w:rsidP="00587366">
      <w:pPr>
        <w:pStyle w:val="ListParagraph"/>
        <w:numPr>
          <w:ilvl w:val="0"/>
          <w:numId w:val="43"/>
        </w:numPr>
        <w:spacing w:line="360" w:lineRule="auto"/>
        <w:rPr>
          <w:rFonts w:ascii="Calibri" w:hAnsi="Calibri" w:cs="Calibri"/>
          <w:sz w:val="22"/>
          <w:szCs w:val="22"/>
        </w:rPr>
      </w:pPr>
      <w:r w:rsidRPr="00587366">
        <w:rPr>
          <w:rFonts w:ascii="Calibri" w:hAnsi="Calibri" w:cs="Calibri"/>
          <w:sz w:val="22"/>
          <w:szCs w:val="22"/>
        </w:rPr>
        <w:t xml:space="preserve">the circumstances revealed by the review application are such that Lifetime care considers it preferable that the review applicant lodge another application to the Scheme instead of a dispute application, </w:t>
      </w:r>
    </w:p>
    <w:p w14:paraId="46185603" w14:textId="77777777" w:rsidR="00F74FBB" w:rsidRDefault="00F74FBB" w:rsidP="00F74FBB">
      <w:pPr>
        <w:spacing w:line="360" w:lineRule="auto"/>
        <w:ind w:left="720" w:hanging="720"/>
        <w:rPr>
          <w:rFonts w:ascii="Calibri" w:hAnsi="Calibri" w:cs="Calibri"/>
          <w:sz w:val="22"/>
          <w:szCs w:val="22"/>
        </w:rPr>
      </w:pPr>
      <w:r>
        <w:rPr>
          <w:rFonts w:ascii="Calibri" w:hAnsi="Calibri" w:cs="Calibri"/>
          <w:sz w:val="22"/>
          <w:szCs w:val="22"/>
        </w:rPr>
        <w:tab/>
        <w:t xml:space="preserve">Then Lifetime Care may invite the review applicant to withdraw the review </w:t>
      </w:r>
      <w:r w:rsidR="00971557">
        <w:rPr>
          <w:rFonts w:ascii="Calibri" w:hAnsi="Calibri" w:cs="Calibri"/>
          <w:sz w:val="22"/>
          <w:szCs w:val="22"/>
        </w:rPr>
        <w:t>application</w:t>
      </w:r>
      <w:r>
        <w:rPr>
          <w:rFonts w:ascii="Calibri" w:hAnsi="Calibri" w:cs="Calibri"/>
          <w:sz w:val="22"/>
          <w:szCs w:val="22"/>
        </w:rPr>
        <w:t xml:space="preserve"> </w:t>
      </w:r>
      <w:r w:rsidR="00971557">
        <w:rPr>
          <w:rFonts w:ascii="Calibri" w:hAnsi="Calibri" w:cs="Calibri"/>
          <w:sz w:val="22"/>
          <w:szCs w:val="22"/>
        </w:rPr>
        <w:t>and, in that case,</w:t>
      </w:r>
      <w:r>
        <w:rPr>
          <w:rFonts w:ascii="Calibri" w:hAnsi="Calibri" w:cs="Calibri"/>
          <w:sz w:val="22"/>
          <w:szCs w:val="22"/>
        </w:rPr>
        <w:t xml:space="preserve"> the review applicant may:</w:t>
      </w:r>
    </w:p>
    <w:p w14:paraId="2EA87F9E" w14:textId="77777777" w:rsidR="00971557" w:rsidRDefault="00587366" w:rsidP="00971557">
      <w:pPr>
        <w:pStyle w:val="ListParagraph"/>
        <w:numPr>
          <w:ilvl w:val="0"/>
          <w:numId w:val="42"/>
        </w:numPr>
        <w:spacing w:line="360" w:lineRule="auto"/>
        <w:rPr>
          <w:rFonts w:ascii="Calibri" w:hAnsi="Calibri" w:cs="Calibri"/>
          <w:sz w:val="22"/>
          <w:szCs w:val="22"/>
        </w:rPr>
      </w:pPr>
      <w:r>
        <w:rPr>
          <w:rFonts w:ascii="Calibri" w:hAnsi="Calibri" w:cs="Calibri"/>
          <w:sz w:val="22"/>
          <w:szCs w:val="22"/>
        </w:rPr>
        <w:t>r</w:t>
      </w:r>
      <w:r w:rsidR="00971557">
        <w:rPr>
          <w:rFonts w:ascii="Calibri" w:hAnsi="Calibri" w:cs="Calibri"/>
          <w:sz w:val="22"/>
          <w:szCs w:val="22"/>
        </w:rPr>
        <w:t xml:space="preserve">equest that the review application be treated as a </w:t>
      </w:r>
      <w:r w:rsidR="00F93DAB">
        <w:rPr>
          <w:rFonts w:ascii="Calibri" w:hAnsi="Calibri" w:cs="Calibri"/>
          <w:sz w:val="22"/>
          <w:szCs w:val="22"/>
        </w:rPr>
        <w:t>new</w:t>
      </w:r>
      <w:r w:rsidR="00971557">
        <w:rPr>
          <w:rFonts w:ascii="Calibri" w:hAnsi="Calibri" w:cs="Calibri"/>
          <w:sz w:val="22"/>
          <w:szCs w:val="22"/>
        </w:rPr>
        <w:t xml:space="preserve"> application to the Scheme; or</w:t>
      </w:r>
    </w:p>
    <w:p w14:paraId="113491AA" w14:textId="77777777" w:rsidR="00971557" w:rsidRPr="00971557" w:rsidRDefault="00587366" w:rsidP="00971557">
      <w:pPr>
        <w:pStyle w:val="ListParagraph"/>
        <w:numPr>
          <w:ilvl w:val="0"/>
          <w:numId w:val="42"/>
        </w:numPr>
        <w:spacing w:line="360" w:lineRule="auto"/>
        <w:rPr>
          <w:rFonts w:ascii="Calibri" w:hAnsi="Calibri" w:cs="Calibri"/>
          <w:sz w:val="22"/>
          <w:szCs w:val="22"/>
        </w:rPr>
      </w:pPr>
      <w:r>
        <w:rPr>
          <w:rFonts w:ascii="Calibri" w:hAnsi="Calibri" w:cs="Calibri"/>
          <w:sz w:val="22"/>
          <w:szCs w:val="22"/>
        </w:rPr>
        <w:t>l</w:t>
      </w:r>
      <w:r w:rsidR="00971557">
        <w:rPr>
          <w:rFonts w:ascii="Calibri" w:hAnsi="Calibri" w:cs="Calibri"/>
          <w:sz w:val="22"/>
          <w:szCs w:val="22"/>
        </w:rPr>
        <w:t xml:space="preserve">odge a </w:t>
      </w:r>
      <w:r w:rsidR="00F93DAB">
        <w:rPr>
          <w:rFonts w:ascii="Calibri" w:hAnsi="Calibri" w:cs="Calibri"/>
          <w:sz w:val="22"/>
          <w:szCs w:val="22"/>
        </w:rPr>
        <w:t>new</w:t>
      </w:r>
      <w:r w:rsidR="00971557">
        <w:rPr>
          <w:rFonts w:ascii="Calibri" w:hAnsi="Calibri" w:cs="Calibri"/>
          <w:sz w:val="22"/>
          <w:szCs w:val="22"/>
        </w:rPr>
        <w:t xml:space="preserve"> application to the Scheme. </w:t>
      </w:r>
    </w:p>
    <w:p w14:paraId="28C4E241" w14:textId="77777777" w:rsidR="00F74FBB" w:rsidRPr="0002753E" w:rsidRDefault="00971557" w:rsidP="0097155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hAnsi="Calibri" w:cs="Calibri"/>
          <w:sz w:val="22"/>
          <w:szCs w:val="22"/>
        </w:rPr>
        <w:t>14.2</w:t>
      </w:r>
      <w:r>
        <w:rPr>
          <w:rFonts w:ascii="Calibri" w:hAnsi="Calibri" w:cs="Calibri"/>
          <w:sz w:val="22"/>
          <w:szCs w:val="22"/>
        </w:rPr>
        <w:tab/>
        <w:t xml:space="preserve">If a review applicant requests that the review application be treated as a </w:t>
      </w:r>
      <w:r w:rsidR="00F93DAB">
        <w:rPr>
          <w:rFonts w:ascii="Calibri" w:hAnsi="Calibri" w:cs="Calibri"/>
          <w:sz w:val="22"/>
          <w:szCs w:val="22"/>
        </w:rPr>
        <w:t>new</w:t>
      </w:r>
      <w:r>
        <w:rPr>
          <w:rFonts w:ascii="Calibri" w:hAnsi="Calibri" w:cs="Calibri"/>
          <w:sz w:val="22"/>
          <w:szCs w:val="22"/>
        </w:rPr>
        <w:t xml:space="preserve"> application to the Scheme, this Part of the Guidelines will cease to </w:t>
      </w:r>
      <w:r w:rsidR="0025715A">
        <w:rPr>
          <w:rFonts w:ascii="Calibri" w:hAnsi="Calibri" w:cs="Calibri"/>
          <w:sz w:val="22"/>
          <w:szCs w:val="22"/>
        </w:rPr>
        <w:t>apply,</w:t>
      </w:r>
      <w:r>
        <w:rPr>
          <w:rFonts w:ascii="Calibri" w:hAnsi="Calibri" w:cs="Calibri"/>
          <w:sz w:val="22"/>
          <w:szCs w:val="22"/>
        </w:rPr>
        <w:t xml:space="preserve"> and Part 1 of the Guidelines will apply, with such amendments or abridgements of time as required to give effect to this clause. </w:t>
      </w:r>
    </w:p>
    <w:p w14:paraId="242893A2" w14:textId="77777777" w:rsidR="00971557" w:rsidRDefault="00971557" w:rsidP="00BA3697">
      <w:pPr>
        <w:spacing w:line="360" w:lineRule="auto"/>
        <w:rPr>
          <w:rFonts w:ascii="Calibri" w:hAnsi="Calibri" w:cs="Calibri"/>
          <w:b/>
          <w:sz w:val="22"/>
          <w:szCs w:val="22"/>
        </w:rPr>
      </w:pPr>
      <w:bookmarkStart w:id="34" w:name="_Toc325044397"/>
    </w:p>
    <w:p w14:paraId="43B47449" w14:textId="77777777" w:rsidR="00BA3697" w:rsidRPr="0002753E" w:rsidRDefault="00BA3697" w:rsidP="00BA3697">
      <w:pPr>
        <w:spacing w:line="360" w:lineRule="auto"/>
        <w:rPr>
          <w:rFonts w:ascii="Calibri" w:hAnsi="Calibri" w:cs="Calibri"/>
          <w:b/>
          <w:sz w:val="22"/>
          <w:szCs w:val="22"/>
        </w:rPr>
      </w:pPr>
      <w:r w:rsidRPr="0002753E">
        <w:rPr>
          <w:rFonts w:ascii="Calibri" w:hAnsi="Calibri" w:cs="Calibri"/>
          <w:b/>
          <w:sz w:val="22"/>
          <w:szCs w:val="22"/>
        </w:rPr>
        <w:t>1</w:t>
      </w:r>
      <w:r w:rsidR="00971557">
        <w:rPr>
          <w:rFonts w:ascii="Calibri" w:hAnsi="Calibri" w:cs="Calibri"/>
          <w:b/>
          <w:sz w:val="22"/>
          <w:szCs w:val="22"/>
        </w:rPr>
        <w:t>5</w:t>
      </w:r>
      <w:r w:rsidRPr="0002753E">
        <w:rPr>
          <w:rFonts w:ascii="Calibri" w:hAnsi="Calibri" w:cs="Calibri"/>
          <w:b/>
          <w:sz w:val="22"/>
          <w:szCs w:val="22"/>
        </w:rPr>
        <w:tab/>
        <w:t xml:space="preserve">Referral to a </w:t>
      </w:r>
      <w:r w:rsidR="00587366">
        <w:rPr>
          <w:rFonts w:ascii="Calibri" w:hAnsi="Calibri" w:cs="Calibri"/>
          <w:b/>
          <w:sz w:val="22"/>
          <w:szCs w:val="22"/>
        </w:rPr>
        <w:t>R</w:t>
      </w:r>
      <w:r w:rsidRPr="0002753E">
        <w:rPr>
          <w:rFonts w:ascii="Calibri" w:hAnsi="Calibri" w:cs="Calibri"/>
          <w:b/>
          <w:sz w:val="22"/>
          <w:szCs w:val="22"/>
        </w:rPr>
        <w:t xml:space="preserve">eview </w:t>
      </w:r>
      <w:r w:rsidR="00587366">
        <w:rPr>
          <w:rFonts w:ascii="Calibri" w:hAnsi="Calibri" w:cs="Calibri"/>
          <w:b/>
          <w:sz w:val="22"/>
          <w:szCs w:val="22"/>
        </w:rPr>
        <w:t>P</w:t>
      </w:r>
      <w:r w:rsidRPr="0002753E">
        <w:rPr>
          <w:rFonts w:ascii="Calibri" w:hAnsi="Calibri" w:cs="Calibri"/>
          <w:b/>
          <w:sz w:val="22"/>
          <w:szCs w:val="22"/>
        </w:rPr>
        <w:t>anel</w:t>
      </w:r>
      <w:bookmarkEnd w:id="34"/>
      <w:r w:rsidRPr="0002753E">
        <w:rPr>
          <w:rFonts w:ascii="Calibri" w:hAnsi="Calibri" w:cs="Calibri"/>
          <w:b/>
          <w:sz w:val="22"/>
          <w:szCs w:val="22"/>
        </w:rPr>
        <w:t xml:space="preserve"> </w:t>
      </w:r>
    </w:p>
    <w:p w14:paraId="7CDDE477"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971557">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Lifetime Care will convene a </w:t>
      </w:r>
      <w:r w:rsidR="00587366">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r w:rsidR="006A7089">
        <w:rPr>
          <w:rFonts w:ascii="Calibri" w:eastAsia="Times New Roman" w:hAnsi="Calibri" w:cs="Calibri"/>
          <w:sz w:val="22"/>
          <w:szCs w:val="22"/>
          <w:lang w:eastAsia="en-AU"/>
        </w:rPr>
        <w:t>pursuant to one of clauses 15.2, 15.3, and 15.4</w:t>
      </w:r>
      <w:r w:rsidRPr="0002753E">
        <w:rPr>
          <w:rFonts w:ascii="Calibri" w:eastAsia="Times New Roman" w:hAnsi="Calibri" w:cs="Calibri"/>
          <w:sz w:val="22"/>
          <w:szCs w:val="22"/>
          <w:lang w:eastAsia="en-AU"/>
        </w:rPr>
        <w:t xml:space="preserve"> within 10 working days of the decision to refer the application to a </w:t>
      </w:r>
      <w:r w:rsidR="00587366">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587366">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6792A22A" w14:textId="77777777" w:rsidR="00BA3697" w:rsidRPr="0002753E" w:rsidRDefault="00BA3697" w:rsidP="00587366">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6A7089">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r>
      <w:r w:rsidR="006A7089">
        <w:rPr>
          <w:rFonts w:ascii="Calibri" w:eastAsia="Times New Roman" w:hAnsi="Calibri" w:cs="Calibri"/>
          <w:sz w:val="22"/>
          <w:szCs w:val="22"/>
          <w:lang w:eastAsia="en-AU"/>
        </w:rPr>
        <w:t>If Lifetime Care is not the applicant for review, it will select three assessors from its list of dispute assessors (subject to clause 15.5), having regard to</w:t>
      </w:r>
      <w:r w:rsidRPr="0002753E">
        <w:rPr>
          <w:rFonts w:ascii="Calibri" w:eastAsia="Times New Roman" w:hAnsi="Calibri" w:cs="Calibri"/>
          <w:sz w:val="22"/>
          <w:szCs w:val="22"/>
          <w:lang w:eastAsia="en-AU"/>
        </w:rPr>
        <w:t>:</w:t>
      </w:r>
    </w:p>
    <w:p w14:paraId="7F6405B0" w14:textId="77777777" w:rsidR="00BA3697" w:rsidRPr="0002753E"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needs of the injured person, for example, the nature of their injury (e.g. traumatic brain injury, spinal cord injury);</w:t>
      </w:r>
    </w:p>
    <w:p w14:paraId="3B3B2860" w14:textId="77777777" w:rsidR="00BA3697"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which elements of the eligibility criteria are in dispute;</w:t>
      </w:r>
    </w:p>
    <w:p w14:paraId="6788B307" w14:textId="77777777" w:rsidR="006A7089" w:rsidRPr="0002753E" w:rsidRDefault="006A7089"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which grounds for review are the subject of the review application;</w:t>
      </w:r>
    </w:p>
    <w:p w14:paraId="024910AD" w14:textId="77777777" w:rsidR="00BA3697" w:rsidRPr="0002753E"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location of the injured person and the assessors;</w:t>
      </w:r>
    </w:p>
    <w:p w14:paraId="48117D5C" w14:textId="77777777" w:rsidR="00BA3697" w:rsidRPr="0002753E"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specialty and expertise of the assessors;</w:t>
      </w:r>
    </w:p>
    <w:p w14:paraId="62031B52" w14:textId="77777777" w:rsidR="00BA3697" w:rsidRPr="0002753E"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the availability of the assessors; and</w:t>
      </w:r>
    </w:p>
    <w:p w14:paraId="2C3C1506" w14:textId="77777777" w:rsidR="00BA3697" w:rsidRPr="0002753E" w:rsidRDefault="00BA3697" w:rsidP="00BA3697">
      <w:pPr>
        <w:widowControl w:val="0"/>
        <w:numPr>
          <w:ilvl w:val="0"/>
          <w:numId w:val="34"/>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whether an interpreter is required. </w:t>
      </w:r>
    </w:p>
    <w:p w14:paraId="17FF40CD" w14:textId="77777777" w:rsidR="006A7089"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lastRenderedPageBreak/>
        <w:t>1</w:t>
      </w:r>
      <w:r w:rsidR="006A7089">
        <w:rPr>
          <w:rFonts w:ascii="Calibri" w:eastAsia="Times New Roman" w:hAnsi="Calibri" w:cs="Calibri"/>
          <w:sz w:val="22"/>
          <w:szCs w:val="22"/>
          <w:lang w:eastAsia="en-AU"/>
        </w:rPr>
        <w:t>5</w:t>
      </w:r>
      <w:r w:rsidRPr="0002753E">
        <w:rPr>
          <w:rFonts w:ascii="Calibri" w:eastAsia="Times New Roman" w:hAnsi="Calibri" w:cs="Calibri"/>
          <w:sz w:val="22"/>
          <w:szCs w:val="22"/>
          <w:lang w:eastAsia="en-AU"/>
        </w:rPr>
        <w:t xml:space="preserve">.3 </w:t>
      </w:r>
      <w:r w:rsidRPr="0002753E">
        <w:rPr>
          <w:rFonts w:ascii="Calibri" w:eastAsia="Times New Roman" w:hAnsi="Calibri" w:cs="Calibri"/>
          <w:sz w:val="22"/>
          <w:szCs w:val="22"/>
          <w:lang w:eastAsia="en-AU"/>
        </w:rPr>
        <w:tab/>
      </w:r>
      <w:r w:rsidR="006A7089">
        <w:rPr>
          <w:rFonts w:ascii="Calibri" w:eastAsia="Times New Roman" w:hAnsi="Calibri" w:cs="Calibri"/>
          <w:sz w:val="22"/>
          <w:szCs w:val="22"/>
          <w:lang w:eastAsia="en-AU"/>
        </w:rPr>
        <w:t xml:space="preserve">If Lifetime Care is the applicant for review, </w:t>
      </w:r>
      <w:bookmarkStart w:id="35" w:name="_Hlk518460898"/>
      <w:r w:rsidR="006A7089">
        <w:rPr>
          <w:rFonts w:ascii="Calibri" w:eastAsia="Times New Roman" w:hAnsi="Calibri" w:cs="Calibri"/>
          <w:sz w:val="22"/>
          <w:szCs w:val="22"/>
          <w:lang w:eastAsia="en-AU"/>
        </w:rPr>
        <w:t xml:space="preserve">it will allow the other party or parties to the review to select the members of the review panel from its list of dispute assessors (subject to clause 15.5) and will convene the </w:t>
      </w:r>
      <w:r w:rsidR="0073047B">
        <w:rPr>
          <w:rFonts w:ascii="Calibri" w:eastAsia="Times New Roman" w:hAnsi="Calibri" w:cs="Calibri"/>
          <w:sz w:val="22"/>
          <w:szCs w:val="22"/>
          <w:lang w:eastAsia="en-AU"/>
        </w:rPr>
        <w:t>R</w:t>
      </w:r>
      <w:r w:rsidR="006A7089">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6A7089">
        <w:rPr>
          <w:rFonts w:ascii="Calibri" w:eastAsia="Times New Roman" w:hAnsi="Calibri" w:cs="Calibri"/>
          <w:sz w:val="22"/>
          <w:szCs w:val="22"/>
          <w:lang w:eastAsia="en-AU"/>
        </w:rPr>
        <w:t xml:space="preserve">anel in accordance with those selections. </w:t>
      </w:r>
      <w:bookmarkEnd w:id="35"/>
    </w:p>
    <w:p w14:paraId="3665C619" w14:textId="77777777" w:rsidR="006A7089" w:rsidRDefault="006A7089"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15.4</w:t>
      </w:r>
      <w:r>
        <w:rPr>
          <w:rFonts w:ascii="Calibri" w:eastAsia="Times New Roman" w:hAnsi="Calibri" w:cs="Calibri"/>
          <w:sz w:val="22"/>
          <w:szCs w:val="22"/>
          <w:lang w:eastAsia="en-AU"/>
        </w:rPr>
        <w:tab/>
      </w:r>
      <w:bookmarkStart w:id="36" w:name="_Hlk518461029"/>
      <w:r w:rsidRPr="006A7089">
        <w:rPr>
          <w:rFonts w:ascii="Calibri" w:eastAsia="Times New Roman" w:hAnsi="Calibri" w:cs="Calibri"/>
          <w:sz w:val="22"/>
          <w:szCs w:val="22"/>
          <w:lang w:eastAsia="en-AU"/>
        </w:rPr>
        <w:t>If Lifetime Care is the applicant for review and the other parties to the review cannot agree on the selection of members of the Review Panel in accordance with clause 1</w:t>
      </w:r>
      <w:r w:rsidR="00270AAF">
        <w:rPr>
          <w:rFonts w:ascii="Calibri" w:eastAsia="Times New Roman" w:hAnsi="Calibri" w:cs="Calibri"/>
          <w:sz w:val="22"/>
          <w:szCs w:val="22"/>
          <w:lang w:eastAsia="en-AU"/>
        </w:rPr>
        <w:t>5</w:t>
      </w:r>
      <w:r w:rsidRPr="006A7089">
        <w:rPr>
          <w:rFonts w:ascii="Calibri" w:eastAsia="Times New Roman" w:hAnsi="Calibri" w:cs="Calibri"/>
          <w:sz w:val="22"/>
          <w:szCs w:val="22"/>
          <w:lang w:eastAsia="en-AU"/>
        </w:rPr>
        <w:t>.3 then, if there are two other parties, each such party will select one member of the Review Panel from Lifetime Care’s list of dispute assessors (subject to clause 1</w:t>
      </w:r>
      <w:r w:rsidR="00270AAF">
        <w:rPr>
          <w:rFonts w:ascii="Calibri" w:eastAsia="Times New Roman" w:hAnsi="Calibri" w:cs="Calibri"/>
          <w:sz w:val="22"/>
          <w:szCs w:val="22"/>
          <w:lang w:eastAsia="en-AU"/>
        </w:rPr>
        <w:t>5</w:t>
      </w:r>
      <w:r w:rsidRPr="006A7089">
        <w:rPr>
          <w:rFonts w:ascii="Calibri" w:eastAsia="Times New Roman" w:hAnsi="Calibri" w:cs="Calibri"/>
          <w:sz w:val="22"/>
          <w:szCs w:val="22"/>
          <w:lang w:eastAsia="en-AU"/>
        </w:rPr>
        <w:t>.5) and Lifetime Care will select the third member in accordance with the criteria set out at clause 1</w:t>
      </w:r>
      <w:r w:rsidR="00270AAF">
        <w:rPr>
          <w:rFonts w:ascii="Calibri" w:eastAsia="Times New Roman" w:hAnsi="Calibri" w:cs="Calibri"/>
          <w:sz w:val="22"/>
          <w:szCs w:val="22"/>
          <w:lang w:eastAsia="en-AU"/>
        </w:rPr>
        <w:t>5</w:t>
      </w:r>
      <w:r w:rsidRPr="006A7089">
        <w:rPr>
          <w:rFonts w:ascii="Calibri" w:eastAsia="Times New Roman" w:hAnsi="Calibri" w:cs="Calibri"/>
          <w:sz w:val="22"/>
          <w:szCs w:val="22"/>
          <w:lang w:eastAsia="en-AU"/>
        </w:rPr>
        <w:t>.2 (subject to clause 1</w:t>
      </w:r>
      <w:r w:rsidR="00270AAF">
        <w:rPr>
          <w:rFonts w:ascii="Calibri" w:eastAsia="Times New Roman" w:hAnsi="Calibri" w:cs="Calibri"/>
          <w:sz w:val="22"/>
          <w:szCs w:val="22"/>
          <w:lang w:eastAsia="en-AU"/>
        </w:rPr>
        <w:t>5</w:t>
      </w:r>
      <w:r w:rsidRPr="006A7089">
        <w:rPr>
          <w:rFonts w:ascii="Calibri" w:eastAsia="Times New Roman" w:hAnsi="Calibri" w:cs="Calibri"/>
          <w:sz w:val="22"/>
          <w:szCs w:val="22"/>
          <w:lang w:eastAsia="en-AU"/>
        </w:rPr>
        <w:t>.5). If there are three parties to the review other than Lifetime Care, each such party will select one member of the Review Panel. In either case, Lifetime Care will convene the Review Panel in accordance with the selections made pursuant to this clause.</w:t>
      </w:r>
      <w:bookmarkEnd w:id="36"/>
    </w:p>
    <w:p w14:paraId="796D8DD0" w14:textId="77777777" w:rsidR="00C06DA5" w:rsidRPr="000A3B99" w:rsidRDefault="00C06DA5" w:rsidP="00C06DA5">
      <w:pPr>
        <w:widowControl w:val="0"/>
        <w:autoSpaceDE w:val="0"/>
        <w:autoSpaceDN w:val="0"/>
        <w:snapToGrid/>
        <w:spacing w:line="360" w:lineRule="auto"/>
        <w:ind w:left="720" w:hanging="720"/>
        <w:rPr>
          <w:rFonts w:eastAsia="Times New Roman" w:cs="Calibri"/>
          <w:sz w:val="22"/>
          <w:szCs w:val="22"/>
          <w:lang w:eastAsia="en-AU"/>
        </w:rPr>
      </w:pPr>
      <w:r>
        <w:rPr>
          <w:rFonts w:ascii="Calibri" w:eastAsia="Times New Roman" w:hAnsi="Calibri" w:cs="Calibri"/>
          <w:sz w:val="22"/>
          <w:szCs w:val="22"/>
          <w:lang w:eastAsia="en-AU"/>
        </w:rPr>
        <w:t>15.5</w:t>
      </w:r>
      <w:r>
        <w:rPr>
          <w:rFonts w:ascii="Calibri" w:eastAsia="Times New Roman" w:hAnsi="Calibri" w:cs="Calibri"/>
          <w:sz w:val="22"/>
          <w:szCs w:val="22"/>
          <w:lang w:eastAsia="en-AU"/>
        </w:rPr>
        <w:tab/>
      </w:r>
      <w:r w:rsidRPr="00C06DA5">
        <w:rPr>
          <w:rFonts w:ascii="Calibri" w:eastAsia="Times New Roman" w:hAnsi="Calibri" w:cs="Calibri"/>
          <w:sz w:val="22"/>
          <w:szCs w:val="22"/>
          <w:lang w:eastAsia="en-AU"/>
        </w:rPr>
        <w:t>Whether convened pursuant to clause 1</w:t>
      </w:r>
      <w:r w:rsidR="00270AAF">
        <w:rPr>
          <w:rFonts w:ascii="Calibri" w:eastAsia="Times New Roman" w:hAnsi="Calibri" w:cs="Calibri"/>
          <w:sz w:val="22"/>
          <w:szCs w:val="22"/>
          <w:lang w:eastAsia="en-AU"/>
        </w:rPr>
        <w:t>5</w:t>
      </w:r>
      <w:r w:rsidRPr="00C06DA5">
        <w:rPr>
          <w:rFonts w:ascii="Calibri" w:eastAsia="Times New Roman" w:hAnsi="Calibri" w:cs="Calibri"/>
          <w:sz w:val="22"/>
          <w:szCs w:val="22"/>
          <w:lang w:eastAsia="en-AU"/>
        </w:rPr>
        <w:t>.2, 1</w:t>
      </w:r>
      <w:r w:rsidR="00270AAF">
        <w:rPr>
          <w:rFonts w:ascii="Calibri" w:eastAsia="Times New Roman" w:hAnsi="Calibri" w:cs="Calibri"/>
          <w:sz w:val="22"/>
          <w:szCs w:val="22"/>
          <w:lang w:eastAsia="en-AU"/>
        </w:rPr>
        <w:t>5</w:t>
      </w:r>
      <w:r w:rsidRPr="00C06DA5">
        <w:rPr>
          <w:rFonts w:ascii="Calibri" w:eastAsia="Times New Roman" w:hAnsi="Calibri" w:cs="Calibri"/>
          <w:sz w:val="22"/>
          <w:szCs w:val="22"/>
          <w:lang w:eastAsia="en-AU"/>
        </w:rPr>
        <w:t>.3 or 1</w:t>
      </w:r>
      <w:r w:rsidR="00270AAF">
        <w:rPr>
          <w:rFonts w:ascii="Calibri" w:eastAsia="Times New Roman" w:hAnsi="Calibri" w:cs="Calibri"/>
          <w:sz w:val="22"/>
          <w:szCs w:val="22"/>
          <w:lang w:eastAsia="en-AU"/>
        </w:rPr>
        <w:t>5</w:t>
      </w:r>
      <w:r w:rsidRPr="00C06DA5">
        <w:rPr>
          <w:rFonts w:ascii="Calibri" w:eastAsia="Times New Roman" w:hAnsi="Calibri" w:cs="Calibri"/>
          <w:sz w:val="22"/>
          <w:szCs w:val="22"/>
          <w:lang w:eastAsia="en-AU"/>
        </w:rPr>
        <w:t xml:space="preserve">.4, the Review Panel must not </w:t>
      </w:r>
      <w:bookmarkStart w:id="37" w:name="_Hlk518461096"/>
      <w:r w:rsidRPr="00C06DA5">
        <w:rPr>
          <w:rFonts w:ascii="Calibri" w:eastAsia="Times New Roman" w:hAnsi="Calibri" w:cs="Calibri"/>
          <w:sz w:val="22"/>
          <w:szCs w:val="22"/>
          <w:lang w:eastAsia="en-AU"/>
        </w:rPr>
        <w:t>include any of the assessors on the Assessment Panel whose decision is the subject of the application for review.</w:t>
      </w:r>
      <w:r w:rsidRPr="000A3B99">
        <w:rPr>
          <w:rFonts w:eastAsia="Times New Roman" w:cs="Calibri"/>
          <w:sz w:val="22"/>
          <w:szCs w:val="22"/>
          <w:lang w:eastAsia="en-AU"/>
        </w:rPr>
        <w:t xml:space="preserve"> </w:t>
      </w:r>
      <w:bookmarkEnd w:id="37"/>
    </w:p>
    <w:p w14:paraId="7AE65181" w14:textId="77777777" w:rsidR="00C06DA5" w:rsidRDefault="000F23BF" w:rsidP="00BA3697">
      <w:pPr>
        <w:widowControl w:val="0"/>
        <w:autoSpaceDE w:val="0"/>
        <w:autoSpaceDN w:val="0"/>
        <w:snapToGrid/>
        <w:spacing w:line="360" w:lineRule="auto"/>
        <w:ind w:left="720" w:hanging="720"/>
        <w:rPr>
          <w:rFonts w:eastAsia="Times New Roman" w:cs="Calibri"/>
          <w:sz w:val="22"/>
          <w:szCs w:val="22"/>
          <w:lang w:eastAsia="en-AU"/>
        </w:rPr>
      </w:pPr>
      <w:r>
        <w:rPr>
          <w:rFonts w:ascii="Calibri" w:eastAsia="Times New Roman" w:hAnsi="Calibri" w:cs="Calibri"/>
          <w:sz w:val="22"/>
          <w:szCs w:val="22"/>
          <w:lang w:eastAsia="en-AU"/>
        </w:rPr>
        <w:t>15.6</w:t>
      </w:r>
      <w:r>
        <w:rPr>
          <w:rFonts w:ascii="Calibri" w:eastAsia="Times New Roman" w:hAnsi="Calibri" w:cs="Calibri"/>
          <w:sz w:val="22"/>
          <w:szCs w:val="22"/>
          <w:lang w:eastAsia="en-AU"/>
        </w:rPr>
        <w:tab/>
      </w:r>
      <w:r w:rsidRPr="000F23BF">
        <w:rPr>
          <w:rFonts w:ascii="Calibri" w:eastAsia="Times New Roman" w:hAnsi="Calibri" w:cs="Calibri"/>
          <w:sz w:val="22"/>
          <w:szCs w:val="22"/>
          <w:lang w:eastAsia="en-AU"/>
        </w:rPr>
        <w:t xml:space="preserve">Lifetime Care will advise the parties of the arrangements of the conduct of the review by the Review Panel, in writing, within 5 working days of the panel being convened. This will include the names and specialties of the assessors on the </w:t>
      </w:r>
      <w:r w:rsidR="0073047B">
        <w:rPr>
          <w:rFonts w:ascii="Calibri" w:eastAsia="Times New Roman" w:hAnsi="Calibri" w:cs="Calibri"/>
          <w:sz w:val="22"/>
          <w:szCs w:val="22"/>
          <w:lang w:eastAsia="en-AU"/>
        </w:rPr>
        <w:t>Review P</w:t>
      </w:r>
      <w:r w:rsidRPr="000F23BF">
        <w:rPr>
          <w:rFonts w:ascii="Calibri" w:eastAsia="Times New Roman" w:hAnsi="Calibri" w:cs="Calibri"/>
          <w:sz w:val="22"/>
          <w:szCs w:val="22"/>
          <w:lang w:eastAsia="en-AU"/>
        </w:rPr>
        <w:t>anel.</w:t>
      </w:r>
      <w:r w:rsidRPr="000A3B99">
        <w:rPr>
          <w:rFonts w:eastAsia="Times New Roman" w:cs="Calibri"/>
          <w:sz w:val="22"/>
          <w:szCs w:val="22"/>
          <w:lang w:eastAsia="en-AU"/>
        </w:rPr>
        <w:t xml:space="preserve">  </w:t>
      </w:r>
    </w:p>
    <w:p w14:paraId="70D1C642" w14:textId="77777777" w:rsidR="000F23BF" w:rsidRDefault="000F23BF"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bookmarkStart w:id="38" w:name="_Hlk518461128"/>
      <w:r>
        <w:rPr>
          <w:rFonts w:ascii="Calibri" w:eastAsia="Times New Roman" w:hAnsi="Calibri" w:cs="Calibri"/>
          <w:sz w:val="22"/>
          <w:szCs w:val="22"/>
          <w:lang w:eastAsia="en-AU"/>
        </w:rPr>
        <w:t>15.7</w:t>
      </w:r>
      <w:r>
        <w:rPr>
          <w:rFonts w:ascii="Calibri" w:eastAsia="Times New Roman" w:hAnsi="Calibri" w:cs="Calibri"/>
          <w:sz w:val="22"/>
          <w:szCs w:val="22"/>
          <w:lang w:eastAsia="en-AU"/>
        </w:rPr>
        <w:tab/>
      </w:r>
      <w:r w:rsidRPr="000F23BF">
        <w:rPr>
          <w:rFonts w:ascii="Calibri" w:eastAsia="Times New Roman" w:hAnsi="Calibri" w:cs="Calibri"/>
          <w:sz w:val="22"/>
          <w:szCs w:val="22"/>
          <w:lang w:eastAsia="en-AU"/>
        </w:rPr>
        <w:t>Lifetime Care may contact the injured person prior to the conduct of the review by a Review Panel. This contact is in order to ensure that the injured person’s specific needs can be considered in any assessment or clinical examination if required.</w:t>
      </w:r>
      <w:r w:rsidRPr="000A3B99">
        <w:rPr>
          <w:rFonts w:eastAsia="Times New Roman" w:cs="Calibri"/>
          <w:sz w:val="22"/>
          <w:szCs w:val="22"/>
          <w:lang w:eastAsia="en-AU"/>
        </w:rPr>
        <w:t xml:space="preserve">  </w:t>
      </w:r>
    </w:p>
    <w:bookmarkEnd w:id="38"/>
    <w:p w14:paraId="3AAFD0AE"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05E5830C" w14:textId="77777777" w:rsidR="00BA3697" w:rsidRPr="0002753E" w:rsidRDefault="00BA3697" w:rsidP="00BA3697">
      <w:pPr>
        <w:spacing w:line="360" w:lineRule="auto"/>
        <w:rPr>
          <w:rFonts w:ascii="Calibri" w:hAnsi="Calibri" w:cs="Calibri"/>
          <w:b/>
          <w:sz w:val="22"/>
          <w:szCs w:val="22"/>
        </w:rPr>
      </w:pPr>
      <w:bookmarkStart w:id="39" w:name="_Toc325044398"/>
      <w:r w:rsidRPr="0002753E">
        <w:rPr>
          <w:rFonts w:ascii="Calibri" w:hAnsi="Calibri" w:cs="Calibri"/>
          <w:b/>
          <w:sz w:val="22"/>
          <w:szCs w:val="22"/>
        </w:rPr>
        <w:t>1</w:t>
      </w:r>
      <w:r w:rsidR="000F23BF">
        <w:rPr>
          <w:rFonts w:ascii="Calibri" w:hAnsi="Calibri" w:cs="Calibri"/>
          <w:b/>
          <w:sz w:val="22"/>
          <w:szCs w:val="22"/>
        </w:rPr>
        <w:t>6</w:t>
      </w:r>
      <w:r w:rsidRPr="0002753E">
        <w:rPr>
          <w:rFonts w:ascii="Calibri" w:hAnsi="Calibri" w:cs="Calibri"/>
          <w:b/>
          <w:sz w:val="22"/>
          <w:szCs w:val="22"/>
        </w:rPr>
        <w:tab/>
        <w:t xml:space="preserve">Grounds for objection to the </w:t>
      </w:r>
      <w:r w:rsidR="0073047B">
        <w:rPr>
          <w:rFonts w:ascii="Calibri" w:hAnsi="Calibri" w:cs="Calibri"/>
          <w:b/>
          <w:sz w:val="22"/>
          <w:szCs w:val="22"/>
        </w:rPr>
        <w:t>R</w:t>
      </w:r>
      <w:r w:rsidRPr="0002753E">
        <w:rPr>
          <w:rFonts w:ascii="Calibri" w:hAnsi="Calibri" w:cs="Calibri"/>
          <w:b/>
          <w:sz w:val="22"/>
          <w:szCs w:val="22"/>
        </w:rPr>
        <w:t xml:space="preserve">eview </w:t>
      </w:r>
      <w:r w:rsidR="0073047B">
        <w:rPr>
          <w:rFonts w:ascii="Calibri" w:hAnsi="Calibri" w:cs="Calibri"/>
          <w:b/>
          <w:sz w:val="22"/>
          <w:szCs w:val="22"/>
        </w:rPr>
        <w:t>P</w:t>
      </w:r>
      <w:r w:rsidRPr="0002753E">
        <w:rPr>
          <w:rFonts w:ascii="Calibri" w:hAnsi="Calibri" w:cs="Calibri"/>
          <w:b/>
          <w:sz w:val="22"/>
          <w:szCs w:val="22"/>
        </w:rPr>
        <w:t>anel</w:t>
      </w:r>
      <w:bookmarkEnd w:id="39"/>
      <w:r w:rsidRPr="0002753E">
        <w:rPr>
          <w:rFonts w:ascii="Calibri" w:hAnsi="Calibri" w:cs="Calibri"/>
          <w:b/>
          <w:sz w:val="22"/>
          <w:szCs w:val="22"/>
        </w:rPr>
        <w:t xml:space="preserve">  </w:t>
      </w:r>
    </w:p>
    <w:p w14:paraId="50E1230C" w14:textId="77777777" w:rsidR="000F23BF" w:rsidRPr="000F23BF" w:rsidRDefault="00BA3697" w:rsidP="000F23BF">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 1</w:t>
      </w:r>
      <w:r w:rsidRPr="0002753E">
        <w:rPr>
          <w:rFonts w:ascii="Calibri" w:eastAsia="Times New Roman" w:hAnsi="Calibri" w:cs="Calibri"/>
          <w:sz w:val="22"/>
          <w:szCs w:val="22"/>
          <w:lang w:eastAsia="en-AU"/>
        </w:rPr>
        <w:tab/>
      </w:r>
      <w:r w:rsidR="000F23BF" w:rsidRPr="000F23BF">
        <w:rPr>
          <w:rFonts w:ascii="Calibri" w:eastAsia="Times New Roman" w:hAnsi="Calibri" w:cs="Calibri"/>
          <w:sz w:val="22"/>
          <w:szCs w:val="22"/>
          <w:lang w:eastAsia="en-AU"/>
        </w:rPr>
        <w:t xml:space="preserve">A party may request </w:t>
      </w:r>
      <w:r w:rsidR="00AC5908">
        <w:rPr>
          <w:rFonts w:ascii="Calibri" w:eastAsia="Times New Roman" w:hAnsi="Calibri" w:cs="Calibri"/>
          <w:sz w:val="22"/>
          <w:szCs w:val="22"/>
          <w:lang w:eastAsia="en-AU"/>
        </w:rPr>
        <w:t>the Review Panel</w:t>
      </w:r>
      <w:r w:rsidR="000F23BF" w:rsidRPr="000F23BF">
        <w:rPr>
          <w:rFonts w:ascii="Calibri" w:eastAsia="Times New Roman" w:hAnsi="Calibri" w:cs="Calibri"/>
          <w:sz w:val="22"/>
          <w:szCs w:val="22"/>
          <w:lang w:eastAsia="en-AU"/>
        </w:rPr>
        <w:t xml:space="preserve"> reallocate the conduct of the review to a differently convened </w:t>
      </w:r>
      <w:r w:rsidR="0073047B">
        <w:rPr>
          <w:rFonts w:ascii="Calibri" w:eastAsia="Times New Roman" w:hAnsi="Calibri" w:cs="Calibri"/>
          <w:sz w:val="22"/>
          <w:szCs w:val="22"/>
          <w:lang w:eastAsia="en-AU"/>
        </w:rPr>
        <w:t>R</w:t>
      </w:r>
      <w:r w:rsidR="000F23BF" w:rsidRP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0F23BF" w:rsidRPr="000F23BF">
        <w:rPr>
          <w:rFonts w:ascii="Calibri" w:eastAsia="Times New Roman" w:hAnsi="Calibri" w:cs="Calibri"/>
          <w:sz w:val="22"/>
          <w:szCs w:val="22"/>
          <w:lang w:eastAsia="en-AU"/>
        </w:rPr>
        <w:t xml:space="preserve">anel on the basis </w:t>
      </w:r>
      <w:bookmarkStart w:id="40" w:name="_Hlk516168048"/>
      <w:r w:rsidR="000F23BF" w:rsidRPr="000F23BF">
        <w:rPr>
          <w:rFonts w:ascii="Calibri" w:eastAsia="Times New Roman" w:hAnsi="Calibri" w:cs="Calibri"/>
          <w:sz w:val="22"/>
          <w:szCs w:val="22"/>
          <w:lang w:eastAsia="en-AU"/>
        </w:rPr>
        <w:t>that they consider any one of the assessors is not appropriate to assess the dispute</w:t>
      </w:r>
      <w:bookmarkEnd w:id="40"/>
      <w:r w:rsidR="000F23BF" w:rsidRPr="000F23BF">
        <w:rPr>
          <w:rFonts w:ascii="Calibri" w:eastAsia="Times New Roman" w:hAnsi="Calibri" w:cs="Calibri"/>
          <w:sz w:val="22"/>
          <w:szCs w:val="22"/>
          <w:lang w:eastAsia="en-AU"/>
        </w:rPr>
        <w:t xml:space="preserve">. This request may apply to any or all of the assessors on the </w:t>
      </w:r>
      <w:r w:rsidR="0073047B">
        <w:rPr>
          <w:rFonts w:ascii="Calibri" w:eastAsia="Times New Roman" w:hAnsi="Calibri" w:cs="Calibri"/>
          <w:sz w:val="22"/>
          <w:szCs w:val="22"/>
          <w:lang w:eastAsia="en-AU"/>
        </w:rPr>
        <w:t>R</w:t>
      </w:r>
      <w:r w:rsidR="000F23BF" w:rsidRP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0F23BF" w:rsidRPr="000F23BF">
        <w:rPr>
          <w:rFonts w:ascii="Calibri" w:eastAsia="Times New Roman" w:hAnsi="Calibri" w:cs="Calibri"/>
          <w:sz w:val="22"/>
          <w:szCs w:val="22"/>
          <w:lang w:eastAsia="en-AU"/>
        </w:rPr>
        <w:t>anel.  To do this, the party must:</w:t>
      </w:r>
    </w:p>
    <w:p w14:paraId="680A6C55" w14:textId="77777777" w:rsidR="000F23BF" w:rsidRPr="000F23BF" w:rsidRDefault="000F23BF" w:rsidP="000F23BF">
      <w:pPr>
        <w:widowControl w:val="0"/>
        <w:numPr>
          <w:ilvl w:val="0"/>
          <w:numId w:val="35"/>
        </w:numPr>
        <w:autoSpaceDE w:val="0"/>
        <w:autoSpaceDN w:val="0"/>
        <w:snapToGrid/>
        <w:spacing w:line="360" w:lineRule="auto"/>
        <w:rPr>
          <w:rFonts w:ascii="Calibri" w:eastAsia="Times New Roman" w:hAnsi="Calibri" w:cs="Calibri"/>
          <w:sz w:val="22"/>
          <w:szCs w:val="22"/>
          <w:lang w:eastAsia="en-AU"/>
        </w:rPr>
      </w:pPr>
      <w:r w:rsidRPr="000F23BF">
        <w:rPr>
          <w:rFonts w:ascii="Calibri" w:eastAsia="Times New Roman" w:hAnsi="Calibri" w:cs="Calibri"/>
          <w:sz w:val="22"/>
          <w:szCs w:val="22"/>
          <w:lang w:eastAsia="en-AU"/>
        </w:rPr>
        <w:t xml:space="preserve">apply within 10 working days of receiving the notification of the names of the assessors on the Review Panel; </w:t>
      </w:r>
    </w:p>
    <w:p w14:paraId="72EAE513" w14:textId="77777777" w:rsidR="000F23BF" w:rsidRPr="000F23BF" w:rsidRDefault="000F23BF" w:rsidP="000F23BF">
      <w:pPr>
        <w:widowControl w:val="0"/>
        <w:numPr>
          <w:ilvl w:val="0"/>
          <w:numId w:val="35"/>
        </w:numPr>
        <w:autoSpaceDE w:val="0"/>
        <w:autoSpaceDN w:val="0"/>
        <w:snapToGrid/>
        <w:spacing w:line="360" w:lineRule="auto"/>
        <w:rPr>
          <w:rFonts w:ascii="Calibri" w:eastAsia="Times New Roman" w:hAnsi="Calibri" w:cs="Calibri"/>
          <w:sz w:val="22"/>
          <w:szCs w:val="22"/>
          <w:lang w:eastAsia="en-AU"/>
        </w:rPr>
      </w:pPr>
      <w:r w:rsidRPr="000F23BF">
        <w:rPr>
          <w:rFonts w:ascii="Calibri" w:eastAsia="Times New Roman" w:hAnsi="Calibri" w:cs="Calibri"/>
          <w:sz w:val="22"/>
          <w:szCs w:val="22"/>
          <w:lang w:eastAsia="en-AU"/>
        </w:rPr>
        <w:t>provide detailed reasons as to why the assessor/s are not appropriate; and</w:t>
      </w:r>
    </w:p>
    <w:p w14:paraId="3862EED5" w14:textId="77777777" w:rsidR="000F23BF" w:rsidRPr="000F23BF" w:rsidRDefault="000F23BF" w:rsidP="000F23BF">
      <w:pPr>
        <w:widowControl w:val="0"/>
        <w:numPr>
          <w:ilvl w:val="0"/>
          <w:numId w:val="35"/>
        </w:numPr>
        <w:autoSpaceDE w:val="0"/>
        <w:autoSpaceDN w:val="0"/>
        <w:snapToGrid/>
        <w:spacing w:line="360" w:lineRule="auto"/>
        <w:rPr>
          <w:rFonts w:ascii="Calibri" w:eastAsia="Times New Roman" w:hAnsi="Calibri" w:cs="Calibri"/>
          <w:sz w:val="22"/>
          <w:szCs w:val="22"/>
          <w:lang w:eastAsia="en-AU"/>
        </w:rPr>
      </w:pPr>
      <w:r w:rsidRPr="000F23BF">
        <w:rPr>
          <w:rFonts w:ascii="Calibri" w:eastAsia="Times New Roman" w:hAnsi="Calibri" w:cs="Calibri"/>
          <w:sz w:val="22"/>
          <w:szCs w:val="22"/>
          <w:lang w:eastAsia="en-AU"/>
        </w:rPr>
        <w:t xml:space="preserve">send a copy of their reasons to the other party to the dispute and Lifetime Care.   </w:t>
      </w:r>
    </w:p>
    <w:p w14:paraId="46712EA1" w14:textId="77777777" w:rsidR="000F23BF" w:rsidRDefault="00BA3697" w:rsidP="000F23BF">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6</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r>
      <w:r w:rsidR="000F23BF" w:rsidRPr="000F23BF">
        <w:rPr>
          <w:rFonts w:ascii="Calibri" w:eastAsia="Times New Roman" w:hAnsi="Calibri" w:cs="Calibri"/>
          <w:sz w:val="22"/>
          <w:szCs w:val="22"/>
          <w:lang w:eastAsia="en-AU"/>
        </w:rPr>
        <w:t>If a party selected an assessor or more than one assessor pursuant to clause 13.3 or 13.4, that party may not request reallocation of the review to a differently convened Review Panel on the basis that the assessor/s selected by that party is/are not appropriate to assess the dispute.</w:t>
      </w:r>
    </w:p>
    <w:p w14:paraId="7F16BABD" w14:textId="77777777" w:rsidR="00BA3697" w:rsidRDefault="000F23BF" w:rsidP="000F23BF">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16.3</w:t>
      </w:r>
      <w:r>
        <w:rPr>
          <w:rFonts w:ascii="Calibri" w:eastAsia="Times New Roman" w:hAnsi="Calibri" w:cs="Calibri"/>
          <w:sz w:val="22"/>
          <w:szCs w:val="22"/>
          <w:lang w:eastAsia="en-AU"/>
        </w:rPr>
        <w:tab/>
      </w:r>
      <w:r w:rsidR="00BD78DC">
        <w:rPr>
          <w:rFonts w:ascii="Calibri" w:eastAsia="Times New Roman" w:hAnsi="Calibri" w:cs="Calibri"/>
          <w:sz w:val="22"/>
          <w:szCs w:val="22"/>
          <w:lang w:eastAsia="en-AU"/>
        </w:rPr>
        <w:t>The Review Panel</w:t>
      </w:r>
      <w:r w:rsidR="00BA3697" w:rsidRPr="0002753E">
        <w:rPr>
          <w:rFonts w:ascii="Calibri" w:eastAsia="Times New Roman" w:hAnsi="Calibri" w:cs="Calibri"/>
          <w:sz w:val="22"/>
          <w:szCs w:val="22"/>
          <w:lang w:eastAsia="en-AU"/>
        </w:rPr>
        <w:t xml:space="preserve"> will forward this request to any other party and invite submissions within 10 days of receipt. </w:t>
      </w:r>
      <w:r w:rsidR="00BD78DC">
        <w:rPr>
          <w:rFonts w:ascii="Calibri" w:eastAsia="Times New Roman" w:hAnsi="Calibri" w:cs="Calibri"/>
          <w:sz w:val="22"/>
          <w:szCs w:val="22"/>
          <w:lang w:eastAsia="en-AU"/>
        </w:rPr>
        <w:t>The Review Panel</w:t>
      </w:r>
      <w:r w:rsidR="00BA3697" w:rsidRPr="0002753E">
        <w:rPr>
          <w:rFonts w:ascii="Calibri" w:eastAsia="Times New Roman" w:hAnsi="Calibri" w:cs="Calibri"/>
          <w:sz w:val="22"/>
          <w:szCs w:val="22"/>
          <w:lang w:eastAsia="en-AU"/>
        </w:rPr>
        <w:t xml:space="preserve"> will make a decision on the request for reallocation within 10 days of receipt of the request, or within 10 working days of receipt of the submission from the other party. </w:t>
      </w:r>
      <w:r w:rsidR="00BD78DC">
        <w:rPr>
          <w:rFonts w:ascii="Calibri" w:eastAsia="Times New Roman" w:hAnsi="Calibri" w:cs="Calibri"/>
          <w:sz w:val="22"/>
          <w:szCs w:val="22"/>
          <w:lang w:eastAsia="en-AU"/>
        </w:rPr>
        <w:t>The Review Panel</w:t>
      </w:r>
      <w:r w:rsidR="00BA3697" w:rsidRPr="0002753E">
        <w:rPr>
          <w:rFonts w:ascii="Calibri" w:eastAsia="Times New Roman" w:hAnsi="Calibri" w:cs="Calibri"/>
          <w:sz w:val="22"/>
          <w:szCs w:val="22"/>
          <w:lang w:eastAsia="en-AU"/>
        </w:rPr>
        <w:t xml:space="preserve"> will </w:t>
      </w:r>
      <w:r>
        <w:rPr>
          <w:rFonts w:ascii="Calibri" w:eastAsia="Times New Roman" w:hAnsi="Calibri" w:cs="Calibri"/>
          <w:sz w:val="22"/>
          <w:szCs w:val="22"/>
          <w:lang w:eastAsia="en-AU"/>
        </w:rPr>
        <w:t xml:space="preserve">reconvene the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in whole or in part if satisfied that there are </w:t>
      </w:r>
      <w:r>
        <w:rPr>
          <w:rFonts w:ascii="Calibri" w:eastAsia="Times New Roman" w:hAnsi="Calibri" w:cs="Calibri"/>
          <w:sz w:val="22"/>
          <w:szCs w:val="22"/>
          <w:lang w:eastAsia="en-AU"/>
        </w:rPr>
        <w:lastRenderedPageBreak/>
        <w:t xml:space="preserve">reasonable grounds for believing that any or all of the assessors are not appropriate. </w:t>
      </w:r>
    </w:p>
    <w:p w14:paraId="2606E637" w14:textId="77777777" w:rsidR="00726815" w:rsidRPr="00726815" w:rsidRDefault="00726815" w:rsidP="000F23BF">
      <w:pPr>
        <w:widowControl w:val="0"/>
        <w:autoSpaceDE w:val="0"/>
        <w:autoSpaceDN w:val="0"/>
        <w:snapToGrid/>
        <w:spacing w:line="360" w:lineRule="auto"/>
        <w:ind w:left="720" w:hanging="720"/>
        <w:rPr>
          <w:rFonts w:ascii="Calibri" w:eastAsia="Times New Roman" w:hAnsi="Calibri" w:cs="Calibri"/>
          <w:i/>
          <w:sz w:val="22"/>
          <w:szCs w:val="22"/>
          <w:lang w:eastAsia="en-AU"/>
        </w:rPr>
      </w:pPr>
      <w:r w:rsidRPr="00FF310E">
        <w:rPr>
          <w:rFonts w:ascii="Calibri" w:eastAsia="Times New Roman" w:hAnsi="Calibri" w:cs="Calibri"/>
          <w:sz w:val="22"/>
          <w:szCs w:val="22"/>
          <w:lang w:eastAsia="en-AU"/>
        </w:rPr>
        <w:t>16.4</w:t>
      </w:r>
      <w:r w:rsidRPr="00FF310E">
        <w:rPr>
          <w:rFonts w:ascii="Calibri" w:eastAsia="Times New Roman" w:hAnsi="Calibri" w:cs="Calibri"/>
          <w:sz w:val="22"/>
          <w:szCs w:val="22"/>
          <w:lang w:eastAsia="en-AU"/>
        </w:rPr>
        <w:tab/>
        <w:t xml:space="preserve">It is generally appropriate for an assessor who has previously completed a dispute assessment for an injured person to assess another dispute relating to that injured person. </w:t>
      </w:r>
      <w:r w:rsidRPr="00FF310E">
        <w:rPr>
          <w:rFonts w:ascii="Calibri" w:eastAsia="Times New Roman" w:hAnsi="Calibri" w:cs="Calibri"/>
          <w:i/>
          <w:sz w:val="22"/>
          <w:szCs w:val="22"/>
          <w:lang w:eastAsia="en-AU"/>
        </w:rPr>
        <w:t xml:space="preserve">For example, a dispute assessment for another type of dispute under another part of these Guidelines. </w:t>
      </w:r>
    </w:p>
    <w:p w14:paraId="71BA81B4"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p>
    <w:p w14:paraId="1B0EB94C" w14:textId="77777777" w:rsidR="00BA3697" w:rsidRPr="0002753E" w:rsidRDefault="00BA3697" w:rsidP="00BA3697">
      <w:pPr>
        <w:spacing w:line="360" w:lineRule="auto"/>
        <w:rPr>
          <w:rFonts w:ascii="Calibri" w:hAnsi="Calibri" w:cs="Calibri"/>
          <w:b/>
          <w:sz w:val="22"/>
          <w:szCs w:val="22"/>
        </w:rPr>
      </w:pPr>
      <w:bookmarkStart w:id="41" w:name="_Toc325044399"/>
      <w:r w:rsidRPr="0002753E">
        <w:rPr>
          <w:rFonts w:ascii="Calibri" w:hAnsi="Calibri" w:cs="Calibri"/>
          <w:b/>
          <w:sz w:val="22"/>
          <w:szCs w:val="22"/>
        </w:rPr>
        <w:t>1</w:t>
      </w:r>
      <w:r w:rsidR="000F23BF">
        <w:rPr>
          <w:rFonts w:ascii="Calibri" w:hAnsi="Calibri" w:cs="Calibri"/>
          <w:b/>
          <w:sz w:val="22"/>
          <w:szCs w:val="22"/>
        </w:rPr>
        <w:t>7</w:t>
      </w:r>
      <w:r w:rsidRPr="0002753E">
        <w:rPr>
          <w:rFonts w:ascii="Calibri" w:hAnsi="Calibri" w:cs="Calibri"/>
          <w:b/>
          <w:sz w:val="22"/>
          <w:szCs w:val="22"/>
        </w:rPr>
        <w:tab/>
        <w:t xml:space="preserve">Review </w:t>
      </w:r>
      <w:r w:rsidR="0073047B">
        <w:rPr>
          <w:rFonts w:ascii="Calibri" w:hAnsi="Calibri" w:cs="Calibri"/>
          <w:b/>
          <w:sz w:val="22"/>
          <w:szCs w:val="22"/>
        </w:rPr>
        <w:t>P</w:t>
      </w:r>
      <w:r w:rsidRPr="0002753E">
        <w:rPr>
          <w:rFonts w:ascii="Calibri" w:hAnsi="Calibri" w:cs="Calibri"/>
          <w:b/>
          <w:sz w:val="22"/>
          <w:szCs w:val="22"/>
        </w:rPr>
        <w:t xml:space="preserve">anel </w:t>
      </w:r>
      <w:r w:rsidR="000F23BF">
        <w:rPr>
          <w:rFonts w:ascii="Calibri" w:hAnsi="Calibri" w:cs="Calibri"/>
          <w:b/>
          <w:sz w:val="22"/>
          <w:szCs w:val="22"/>
        </w:rPr>
        <w:t xml:space="preserve">is to </w:t>
      </w:r>
      <w:r w:rsidRPr="0002753E">
        <w:rPr>
          <w:rFonts w:ascii="Calibri" w:hAnsi="Calibri" w:cs="Calibri"/>
          <w:b/>
          <w:sz w:val="22"/>
          <w:szCs w:val="22"/>
        </w:rPr>
        <w:t>hold initial meeting</w:t>
      </w:r>
      <w:bookmarkEnd w:id="41"/>
      <w:r w:rsidRPr="0002753E">
        <w:rPr>
          <w:rFonts w:ascii="Calibri" w:hAnsi="Calibri" w:cs="Calibri"/>
          <w:b/>
          <w:sz w:val="22"/>
          <w:szCs w:val="22"/>
        </w:rPr>
        <w:t xml:space="preserve"> </w:t>
      </w:r>
    </w:p>
    <w:p w14:paraId="1EE76976"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7</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When the </w:t>
      </w:r>
      <w:r w:rsidR="0073047B">
        <w:rPr>
          <w:rFonts w:ascii="Calibri" w:eastAsia="Times New Roman" w:hAnsi="Calibri" w:cs="Calibri"/>
          <w:sz w:val="22"/>
          <w:szCs w:val="22"/>
          <w:lang w:eastAsia="en-AU"/>
        </w:rPr>
        <w:t>R</w:t>
      </w:r>
      <w:r w:rsid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is convened, </w:t>
      </w:r>
      <w:r w:rsidR="00270AAF">
        <w:rPr>
          <w:rFonts w:ascii="Calibri" w:eastAsia="Times New Roman" w:hAnsi="Calibri" w:cs="Calibri"/>
          <w:sz w:val="22"/>
          <w:szCs w:val="22"/>
          <w:lang w:eastAsia="en-AU"/>
        </w:rPr>
        <w:t>the Review Panel</w:t>
      </w:r>
      <w:r w:rsidRPr="0002753E">
        <w:rPr>
          <w:rFonts w:ascii="Calibri" w:eastAsia="Times New Roman" w:hAnsi="Calibri" w:cs="Calibri"/>
          <w:sz w:val="22"/>
          <w:szCs w:val="22"/>
          <w:lang w:eastAsia="en-AU"/>
        </w:rPr>
        <w:t xml:space="preserve"> will appoint a chairperson and </w:t>
      </w:r>
      <w:r w:rsidR="00270AAF">
        <w:rPr>
          <w:rFonts w:ascii="Calibri" w:eastAsia="Times New Roman" w:hAnsi="Calibri" w:cs="Calibri"/>
          <w:sz w:val="22"/>
          <w:szCs w:val="22"/>
          <w:lang w:eastAsia="en-AU"/>
        </w:rPr>
        <w:t xml:space="preserve">Lifetime Care </w:t>
      </w:r>
      <w:r w:rsidRPr="0002753E">
        <w:rPr>
          <w:rFonts w:ascii="Calibri" w:eastAsia="Times New Roman" w:hAnsi="Calibri" w:cs="Calibri"/>
          <w:sz w:val="22"/>
          <w:szCs w:val="22"/>
          <w:lang w:eastAsia="en-AU"/>
        </w:rPr>
        <w:t xml:space="preserve">will send the </w:t>
      </w:r>
      <w:r w:rsidR="0073047B">
        <w:rPr>
          <w:rFonts w:ascii="Calibri" w:eastAsia="Times New Roman" w:hAnsi="Calibri" w:cs="Calibri"/>
          <w:sz w:val="22"/>
          <w:szCs w:val="22"/>
          <w:lang w:eastAsia="en-AU"/>
        </w:rPr>
        <w:t>R</w:t>
      </w:r>
      <w:r w:rsid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copies of:</w:t>
      </w:r>
    </w:p>
    <w:p w14:paraId="2EC586F8" w14:textId="77777777" w:rsidR="00BA3697" w:rsidRPr="0002753E" w:rsidRDefault="00BA3697" w:rsidP="00BA3697">
      <w:pPr>
        <w:widowControl w:val="0"/>
        <w:numPr>
          <w:ilvl w:val="0"/>
          <w:numId w:val="3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all material that was before the previous </w:t>
      </w:r>
      <w:r w:rsidR="0073047B">
        <w:rPr>
          <w:rFonts w:ascii="Calibri" w:eastAsia="Times New Roman" w:hAnsi="Calibri" w:cs="Calibri"/>
          <w:sz w:val="22"/>
          <w:szCs w:val="22"/>
          <w:lang w:eastAsia="en-AU"/>
        </w:rPr>
        <w:t>Assessment P</w:t>
      </w:r>
      <w:r w:rsidRPr="0002753E">
        <w:rPr>
          <w:rFonts w:ascii="Calibri" w:eastAsia="Times New Roman" w:hAnsi="Calibri" w:cs="Calibri"/>
          <w:sz w:val="22"/>
          <w:szCs w:val="22"/>
          <w:lang w:eastAsia="en-AU"/>
        </w:rPr>
        <w:t>anel, including Lifetime Care's original determination of eligibility and reasons;</w:t>
      </w:r>
    </w:p>
    <w:p w14:paraId="6AD7AD49" w14:textId="77777777" w:rsidR="00BA3697" w:rsidRDefault="00BA3697" w:rsidP="00BA3697">
      <w:pPr>
        <w:widowControl w:val="0"/>
        <w:numPr>
          <w:ilvl w:val="0"/>
          <w:numId w:val="3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the review application and all accompanying documents; </w:t>
      </w:r>
    </w:p>
    <w:p w14:paraId="6F1FB783" w14:textId="77777777" w:rsidR="000F23BF" w:rsidRPr="0002753E" w:rsidRDefault="000F23BF" w:rsidP="00BA3697">
      <w:pPr>
        <w:widowControl w:val="0"/>
        <w:numPr>
          <w:ilvl w:val="0"/>
          <w:numId w:val="36"/>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the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certificate issued under section 14(4); and </w:t>
      </w:r>
    </w:p>
    <w:p w14:paraId="2ED00F4E" w14:textId="77777777" w:rsidR="00BA3697" w:rsidRPr="0002753E" w:rsidRDefault="00BA3697" w:rsidP="00BA3697">
      <w:pPr>
        <w:widowControl w:val="0"/>
        <w:numPr>
          <w:ilvl w:val="0"/>
          <w:numId w:val="36"/>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any additional documentation or information received since the review application was made. </w:t>
      </w:r>
    </w:p>
    <w:p w14:paraId="7EE800C5" w14:textId="77777777" w:rsidR="00BA3697"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bookmarkStart w:id="42" w:name="_Hlk518461272"/>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7</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initial meeting or teleconference will occur as soon as possible and within 20 working days of the date the </w:t>
      </w:r>
      <w:r w:rsidR="0073047B">
        <w:rPr>
          <w:rFonts w:ascii="Calibri" w:eastAsia="Times New Roman" w:hAnsi="Calibri" w:cs="Calibri"/>
          <w:sz w:val="22"/>
          <w:szCs w:val="22"/>
          <w:lang w:eastAsia="en-AU"/>
        </w:rPr>
        <w:t>Review P</w:t>
      </w:r>
      <w:r w:rsidRPr="0002753E">
        <w:rPr>
          <w:rFonts w:ascii="Calibri" w:eastAsia="Times New Roman" w:hAnsi="Calibri" w:cs="Calibri"/>
          <w:sz w:val="22"/>
          <w:szCs w:val="22"/>
          <w:lang w:eastAsia="en-AU"/>
        </w:rPr>
        <w:t xml:space="preserve">anel was convened. </w:t>
      </w:r>
    </w:p>
    <w:p w14:paraId="257272D0" w14:textId="77777777" w:rsidR="000F23BF" w:rsidRPr="0002753E" w:rsidRDefault="000F23BF"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17.3</w:t>
      </w:r>
      <w:r>
        <w:rPr>
          <w:rFonts w:ascii="Calibri" w:eastAsia="Times New Roman" w:hAnsi="Calibri" w:cs="Calibri"/>
          <w:sz w:val="22"/>
          <w:szCs w:val="22"/>
          <w:lang w:eastAsia="en-AU"/>
        </w:rPr>
        <w:tab/>
        <w:t xml:space="preserve">For the avoidance of doubt, the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anel’s initial meeting or teleconference may occur in the absence of the parties. </w:t>
      </w:r>
    </w:p>
    <w:bookmarkEnd w:id="42"/>
    <w:p w14:paraId="32AB691C"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74EC1EF3" w14:textId="77777777" w:rsidR="00BA3697" w:rsidRPr="0002753E" w:rsidRDefault="00BA3697" w:rsidP="00BA3697">
      <w:pPr>
        <w:spacing w:line="360" w:lineRule="auto"/>
        <w:rPr>
          <w:rFonts w:ascii="Calibri" w:hAnsi="Calibri" w:cs="Calibri"/>
          <w:b/>
          <w:sz w:val="22"/>
          <w:szCs w:val="22"/>
        </w:rPr>
      </w:pPr>
      <w:bookmarkStart w:id="43" w:name="_Toc325044400"/>
      <w:r w:rsidRPr="0002753E">
        <w:rPr>
          <w:rFonts w:ascii="Calibri" w:hAnsi="Calibri" w:cs="Calibri"/>
          <w:b/>
          <w:sz w:val="22"/>
          <w:szCs w:val="22"/>
        </w:rPr>
        <w:t>1</w:t>
      </w:r>
      <w:r w:rsidR="000F23BF">
        <w:rPr>
          <w:rFonts w:ascii="Calibri" w:hAnsi="Calibri" w:cs="Calibri"/>
          <w:b/>
          <w:sz w:val="22"/>
          <w:szCs w:val="22"/>
        </w:rPr>
        <w:t>8</w:t>
      </w:r>
      <w:r w:rsidRPr="0002753E">
        <w:rPr>
          <w:rFonts w:ascii="Calibri" w:hAnsi="Calibri" w:cs="Calibri"/>
          <w:b/>
          <w:sz w:val="22"/>
          <w:szCs w:val="22"/>
        </w:rPr>
        <w:tab/>
        <w:t xml:space="preserve">Procedures for </w:t>
      </w:r>
      <w:r w:rsidR="0073047B">
        <w:rPr>
          <w:rFonts w:ascii="Calibri" w:hAnsi="Calibri" w:cs="Calibri"/>
          <w:b/>
          <w:sz w:val="22"/>
          <w:szCs w:val="22"/>
        </w:rPr>
        <w:t>R</w:t>
      </w:r>
      <w:r w:rsidRPr="0002753E">
        <w:rPr>
          <w:rFonts w:ascii="Calibri" w:hAnsi="Calibri" w:cs="Calibri"/>
          <w:b/>
          <w:sz w:val="22"/>
          <w:szCs w:val="22"/>
        </w:rPr>
        <w:t xml:space="preserve">eview </w:t>
      </w:r>
      <w:r w:rsidR="0073047B">
        <w:rPr>
          <w:rFonts w:ascii="Calibri" w:hAnsi="Calibri" w:cs="Calibri"/>
          <w:b/>
          <w:sz w:val="22"/>
          <w:szCs w:val="22"/>
        </w:rPr>
        <w:t>P</w:t>
      </w:r>
      <w:r w:rsidRPr="0002753E">
        <w:rPr>
          <w:rFonts w:ascii="Calibri" w:hAnsi="Calibri" w:cs="Calibri"/>
          <w:b/>
          <w:sz w:val="22"/>
          <w:szCs w:val="22"/>
        </w:rPr>
        <w:t>anel assessment</w:t>
      </w:r>
      <w:bookmarkEnd w:id="43"/>
      <w:r w:rsidRPr="0002753E">
        <w:rPr>
          <w:rFonts w:ascii="Calibri" w:hAnsi="Calibri" w:cs="Calibri"/>
          <w:b/>
          <w:sz w:val="22"/>
          <w:szCs w:val="22"/>
        </w:rPr>
        <w:t xml:space="preserve"> </w:t>
      </w:r>
    </w:p>
    <w:p w14:paraId="216C50EE"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R</w:t>
      </w:r>
      <w:r w:rsid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is not bound by the rules of evidence in conducting an assessment.  </w:t>
      </w:r>
    </w:p>
    <w:p w14:paraId="53698FA7"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.2 </w:t>
      </w:r>
      <w:r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R</w:t>
      </w:r>
      <w:r w:rsidR="000F23BF">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must follow these Guidelines at the time of their assessment and must also follow any practice notes that are in force at the time of their assessment.  </w:t>
      </w:r>
    </w:p>
    <w:p w14:paraId="13B8E7AA" w14:textId="77777777" w:rsidR="000B1C31"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F23BF">
        <w:rPr>
          <w:rFonts w:ascii="Calibri" w:eastAsia="Times New Roman" w:hAnsi="Calibri" w:cs="Calibri"/>
          <w:sz w:val="22"/>
          <w:szCs w:val="22"/>
          <w:lang w:eastAsia="en-AU"/>
        </w:rPr>
        <w:t>8</w:t>
      </w:r>
      <w:r w:rsidRPr="0002753E">
        <w:rPr>
          <w:rFonts w:ascii="Calibri" w:eastAsia="Times New Roman" w:hAnsi="Calibri" w:cs="Calibri"/>
          <w:sz w:val="22"/>
          <w:szCs w:val="22"/>
          <w:lang w:eastAsia="en-AU"/>
        </w:rPr>
        <w:t xml:space="preserve">.3 </w:t>
      </w:r>
      <w:r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R</w:t>
      </w:r>
      <w:r w:rsidRPr="0002753E">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anel’s assessment process will consider all aspects of the </w:t>
      </w:r>
      <w:r w:rsidR="0073047B">
        <w:rPr>
          <w:rFonts w:ascii="Calibri" w:eastAsia="Times New Roman" w:hAnsi="Calibri" w:cs="Calibri"/>
          <w:sz w:val="22"/>
          <w:szCs w:val="22"/>
          <w:lang w:eastAsia="en-AU"/>
        </w:rPr>
        <w:t>A</w:t>
      </w:r>
      <w:r w:rsidR="000B1C31">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000B1C31">
        <w:rPr>
          <w:rFonts w:ascii="Calibri" w:eastAsia="Times New Roman" w:hAnsi="Calibri" w:cs="Calibri"/>
          <w:sz w:val="22"/>
          <w:szCs w:val="22"/>
          <w:lang w:eastAsia="en-AU"/>
        </w:rPr>
        <w:t xml:space="preserve">anel determination and decide whether one or more of the review grounds set out in section 15 of the Act are made out. </w:t>
      </w:r>
    </w:p>
    <w:p w14:paraId="379C311C" w14:textId="1D65C81B" w:rsidR="00BA3697" w:rsidRPr="0002753E" w:rsidRDefault="000B1C3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18.4</w:t>
      </w:r>
      <w:r>
        <w:rPr>
          <w:rFonts w:ascii="Calibri" w:eastAsia="Times New Roman" w:hAnsi="Calibri" w:cs="Calibri"/>
          <w:sz w:val="22"/>
          <w:szCs w:val="22"/>
          <w:lang w:eastAsia="en-AU"/>
        </w:rPr>
        <w:tab/>
        <w:t xml:space="preserve">In assessing the matters in dispute the </w:t>
      </w:r>
      <w:r w:rsidR="00511041">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511041">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may determine its own procedure and may inquire into any such issue as the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sees fit, including: </w:t>
      </w:r>
      <w:r w:rsidR="00BA3697" w:rsidRPr="0002753E">
        <w:rPr>
          <w:rFonts w:ascii="Calibri" w:eastAsia="Times New Roman" w:hAnsi="Calibri" w:cs="Calibri"/>
          <w:sz w:val="22"/>
          <w:szCs w:val="22"/>
          <w:lang w:eastAsia="en-AU"/>
        </w:rPr>
        <w:t xml:space="preserve"> </w:t>
      </w:r>
    </w:p>
    <w:p w14:paraId="7E14DC87" w14:textId="77777777" w:rsidR="00BA3697" w:rsidRPr="0002753E" w:rsidRDefault="00BA3697" w:rsidP="00BA3697">
      <w:pPr>
        <w:widowControl w:val="0"/>
        <w:numPr>
          <w:ilvl w:val="0"/>
          <w:numId w:val="3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deciding whether another clinical examination of the injured person is required, or if the assessment will be completed on the documentation provided;</w:t>
      </w:r>
    </w:p>
    <w:p w14:paraId="015D33B0" w14:textId="77777777" w:rsidR="00BA3697" w:rsidRPr="0002753E" w:rsidRDefault="00BA3697" w:rsidP="00BA3697">
      <w:pPr>
        <w:widowControl w:val="0"/>
        <w:numPr>
          <w:ilvl w:val="0"/>
          <w:numId w:val="3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deciding whether the participant should be required to attend an assessment (clinical examination) with another health professional (who is not a member of the </w:t>
      </w:r>
      <w:r w:rsidR="0073047B">
        <w:rPr>
          <w:rFonts w:ascii="Calibri" w:eastAsia="Times New Roman" w:hAnsi="Calibri" w:cs="Calibri"/>
          <w:sz w:val="22"/>
          <w:szCs w:val="22"/>
          <w:lang w:eastAsia="en-AU"/>
        </w:rPr>
        <w:t>A</w:t>
      </w:r>
      <w:r w:rsidR="000B1C31">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w:t>
      </w:r>
      <w:r w:rsidR="000B1C31">
        <w:rPr>
          <w:rFonts w:ascii="Calibri" w:eastAsia="Times New Roman" w:hAnsi="Calibri" w:cs="Calibri"/>
          <w:sz w:val="22"/>
          <w:szCs w:val="22"/>
          <w:lang w:eastAsia="en-AU"/>
        </w:rPr>
        <w:t xml:space="preserve"> or </w:t>
      </w:r>
      <w:r w:rsidR="0073047B">
        <w:rPr>
          <w:rFonts w:ascii="Calibri" w:eastAsia="Times New Roman" w:hAnsi="Calibri" w:cs="Calibri"/>
          <w:sz w:val="22"/>
          <w:szCs w:val="22"/>
          <w:lang w:eastAsia="en-AU"/>
        </w:rPr>
        <w:t>R</w:t>
      </w:r>
      <w:r w:rsidR="000B1C31">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0B1C31">
        <w:rPr>
          <w:rFonts w:ascii="Calibri" w:eastAsia="Times New Roman" w:hAnsi="Calibri" w:cs="Calibri"/>
          <w:sz w:val="22"/>
          <w:szCs w:val="22"/>
          <w:lang w:eastAsia="en-AU"/>
        </w:rPr>
        <w:t>anel</w:t>
      </w:r>
      <w:r w:rsidRPr="0002753E">
        <w:rPr>
          <w:rFonts w:ascii="Calibri" w:eastAsia="Times New Roman" w:hAnsi="Calibri" w:cs="Calibri"/>
          <w:sz w:val="22"/>
          <w:szCs w:val="22"/>
          <w:lang w:eastAsia="en-AU"/>
        </w:rPr>
        <w:t xml:space="preserve">) and a report be provided to the </w:t>
      </w:r>
      <w:r w:rsidR="0073047B">
        <w:rPr>
          <w:rFonts w:ascii="Calibri" w:eastAsia="Times New Roman" w:hAnsi="Calibri" w:cs="Calibri"/>
          <w:sz w:val="22"/>
          <w:szCs w:val="22"/>
          <w:lang w:eastAsia="en-AU"/>
        </w:rPr>
        <w:t>R</w:t>
      </w:r>
      <w:r w:rsidR="000B1C31">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to make their decision, or if the assessment will be completed on the documentation provided;</w:t>
      </w:r>
    </w:p>
    <w:p w14:paraId="6F94982A" w14:textId="77777777" w:rsidR="00BA3697" w:rsidRPr="0002753E" w:rsidRDefault="00BA3697" w:rsidP="00BA3697">
      <w:pPr>
        <w:widowControl w:val="0"/>
        <w:numPr>
          <w:ilvl w:val="0"/>
          <w:numId w:val="3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deciding whether </w:t>
      </w:r>
      <w:r w:rsidR="000B1C31">
        <w:rPr>
          <w:rFonts w:ascii="Calibri" w:eastAsia="Times New Roman" w:hAnsi="Calibri" w:cs="Calibri"/>
          <w:sz w:val="22"/>
          <w:szCs w:val="22"/>
          <w:lang w:eastAsia="en-AU"/>
        </w:rPr>
        <w:t>any additional information is required to make a determination, whether from the applicant, or any other party to the review or any third party;</w:t>
      </w:r>
    </w:p>
    <w:p w14:paraId="329E6A10" w14:textId="77777777" w:rsidR="00BA3697" w:rsidRPr="0002753E" w:rsidRDefault="00BA3697" w:rsidP="00BA3697">
      <w:pPr>
        <w:widowControl w:val="0"/>
        <w:numPr>
          <w:ilvl w:val="0"/>
          <w:numId w:val="3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deciding whether </w:t>
      </w:r>
      <w:r w:rsidR="000B1C31">
        <w:rPr>
          <w:rFonts w:ascii="Calibri" w:eastAsia="Times New Roman" w:hAnsi="Calibri" w:cs="Calibri"/>
          <w:sz w:val="22"/>
          <w:szCs w:val="22"/>
          <w:lang w:eastAsia="en-AU"/>
        </w:rPr>
        <w:t xml:space="preserve">and how to contact the applicant, any other party to the review or any third </w:t>
      </w:r>
      <w:r w:rsidR="000B1C31">
        <w:rPr>
          <w:rFonts w:ascii="Calibri" w:eastAsia="Times New Roman" w:hAnsi="Calibri" w:cs="Calibri"/>
          <w:sz w:val="22"/>
          <w:szCs w:val="22"/>
          <w:lang w:eastAsia="en-AU"/>
        </w:rPr>
        <w:lastRenderedPageBreak/>
        <w:t>party as it sees fit</w:t>
      </w:r>
      <w:r w:rsidRPr="0002753E">
        <w:rPr>
          <w:rFonts w:ascii="Calibri" w:eastAsia="Times New Roman" w:hAnsi="Calibri" w:cs="Calibri"/>
          <w:sz w:val="22"/>
          <w:szCs w:val="22"/>
          <w:lang w:eastAsia="en-AU"/>
        </w:rPr>
        <w:t>; and</w:t>
      </w:r>
    </w:p>
    <w:p w14:paraId="0257AEEC" w14:textId="77777777" w:rsidR="00BA3697" w:rsidRPr="0002753E" w:rsidRDefault="00BA3697" w:rsidP="00BA3697">
      <w:pPr>
        <w:widowControl w:val="0"/>
        <w:numPr>
          <w:ilvl w:val="0"/>
          <w:numId w:val="37"/>
        </w:numPr>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considering any new information that was not before the </w:t>
      </w:r>
      <w:r w:rsidR="0073047B">
        <w:rPr>
          <w:rFonts w:ascii="Calibri" w:eastAsia="Times New Roman" w:hAnsi="Calibri" w:cs="Calibri"/>
          <w:sz w:val="22"/>
          <w:szCs w:val="22"/>
          <w:lang w:eastAsia="en-AU"/>
        </w:rPr>
        <w:t>A</w:t>
      </w:r>
      <w:r w:rsidR="000B1C31">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w:t>
      </w:r>
    </w:p>
    <w:p w14:paraId="78DE55AB" w14:textId="77777777" w:rsidR="00BA3697" w:rsidRPr="0002753E" w:rsidRDefault="000B1C3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18.5</w:t>
      </w:r>
      <w:r w:rsidR="00BA3697" w:rsidRPr="0002753E">
        <w:rPr>
          <w:rFonts w:ascii="Calibri" w:eastAsia="Times New Roman" w:hAnsi="Calibri" w:cs="Calibri"/>
          <w:sz w:val="22"/>
          <w:szCs w:val="22"/>
          <w:lang w:eastAsia="en-AU"/>
        </w:rPr>
        <w:tab/>
        <w:t xml:space="preserve"> If the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decides that another clinical examination or additional information is required, the previous </w:t>
      </w:r>
      <w:r>
        <w:rPr>
          <w:rFonts w:ascii="Calibri" w:eastAsia="Times New Roman" w:hAnsi="Calibri" w:cs="Calibri"/>
          <w:sz w:val="22"/>
          <w:szCs w:val="22"/>
          <w:lang w:eastAsia="en-AU"/>
        </w:rPr>
        <w:t>clauses</w:t>
      </w:r>
      <w:r w:rsidR="00BA3697" w:rsidRPr="0002753E">
        <w:rPr>
          <w:rFonts w:ascii="Calibri" w:eastAsia="Times New Roman" w:hAnsi="Calibri" w:cs="Calibri"/>
          <w:sz w:val="22"/>
          <w:szCs w:val="22"/>
          <w:lang w:eastAsia="en-AU"/>
        </w:rPr>
        <w:t xml:space="preserve"> of these Guidelines apply in relation to requesting further information or documentation, arrangement of the clinical examination, clinical examination procedures and use of interpreters.    </w:t>
      </w:r>
    </w:p>
    <w:p w14:paraId="04897B56" w14:textId="77777777" w:rsidR="00BA3697" w:rsidRDefault="00BA3697" w:rsidP="00BA3697">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B1C31">
        <w:rPr>
          <w:rFonts w:ascii="Calibri" w:eastAsia="Times New Roman" w:hAnsi="Calibri" w:cs="Calibri"/>
          <w:sz w:val="22"/>
          <w:szCs w:val="22"/>
          <w:lang w:eastAsia="en-AU"/>
        </w:rPr>
        <w:t>8.6</w:t>
      </w:r>
      <w:r w:rsidRPr="0002753E">
        <w:rPr>
          <w:rFonts w:ascii="Calibri" w:eastAsia="Times New Roman" w:hAnsi="Calibri" w:cs="Calibri"/>
          <w:sz w:val="22"/>
          <w:szCs w:val="22"/>
          <w:lang w:eastAsia="en-AU"/>
        </w:rPr>
        <w:t xml:space="preserve"> </w:t>
      </w:r>
      <w:r w:rsidRPr="0002753E">
        <w:rPr>
          <w:rFonts w:ascii="Calibri" w:eastAsia="Times New Roman" w:hAnsi="Calibri" w:cs="Calibri"/>
          <w:sz w:val="22"/>
          <w:szCs w:val="22"/>
          <w:lang w:eastAsia="en-AU"/>
        </w:rPr>
        <w:tab/>
        <w:t xml:space="preserve">If a clinical examination occurs, the </w:t>
      </w:r>
      <w:r w:rsidR="0073047B">
        <w:rPr>
          <w:rFonts w:ascii="Calibri" w:eastAsia="Times New Roman" w:hAnsi="Calibri" w:cs="Calibri"/>
          <w:sz w:val="22"/>
          <w:szCs w:val="22"/>
          <w:lang w:eastAsia="en-AU"/>
        </w:rPr>
        <w:t>R</w:t>
      </w:r>
      <w:r w:rsidR="000B1C31">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may hold as many meetings or teleconferences as required after the examination in order to finalise their determination. However, in all cases, the </w:t>
      </w:r>
      <w:r w:rsidR="0073047B">
        <w:rPr>
          <w:rFonts w:ascii="Calibri" w:eastAsia="Times New Roman" w:hAnsi="Calibri" w:cs="Calibri"/>
          <w:sz w:val="22"/>
          <w:szCs w:val="22"/>
          <w:lang w:eastAsia="en-AU"/>
        </w:rPr>
        <w:t>R</w:t>
      </w:r>
      <w:r w:rsidR="000B1C31">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 xml:space="preserve">anel must attempt to resolve the dispute as quickly as possible.  </w:t>
      </w:r>
    </w:p>
    <w:p w14:paraId="294D402D" w14:textId="06804636" w:rsidR="000B1C31" w:rsidRDefault="000B1C31" w:rsidP="00BA3697">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18.7</w:t>
      </w:r>
      <w:r>
        <w:rPr>
          <w:rFonts w:ascii="Calibri" w:eastAsia="Times New Roman" w:hAnsi="Calibri" w:cs="Calibri"/>
          <w:sz w:val="22"/>
          <w:szCs w:val="22"/>
          <w:lang w:eastAsia="en-AU"/>
        </w:rPr>
        <w:tab/>
      </w:r>
      <w:r w:rsidR="000A6392">
        <w:rPr>
          <w:rFonts w:ascii="Calibri" w:eastAsia="Times New Roman" w:hAnsi="Calibri" w:cs="Calibri"/>
          <w:sz w:val="22"/>
          <w:szCs w:val="22"/>
          <w:lang w:eastAsia="en-AU"/>
        </w:rPr>
        <w:t>Administr</w:t>
      </w:r>
      <w:r w:rsidR="000A6392" w:rsidRPr="0002753E">
        <w:rPr>
          <w:rFonts w:ascii="Calibri" w:eastAsia="Times New Roman" w:hAnsi="Calibri" w:cs="Calibri"/>
          <w:sz w:val="22"/>
          <w:szCs w:val="22"/>
          <w:lang w:eastAsia="en-AU"/>
        </w:rPr>
        <w:t xml:space="preserve">ative support will be provided to the </w:t>
      </w:r>
      <w:r w:rsidR="000A6392">
        <w:rPr>
          <w:rFonts w:ascii="Calibri" w:eastAsia="Times New Roman" w:hAnsi="Calibri" w:cs="Calibri"/>
          <w:sz w:val="22"/>
          <w:szCs w:val="22"/>
          <w:lang w:eastAsia="en-AU"/>
        </w:rPr>
        <w:t>Review P</w:t>
      </w:r>
      <w:r w:rsidR="000A6392" w:rsidRPr="0002753E">
        <w:rPr>
          <w:rFonts w:ascii="Calibri" w:eastAsia="Times New Roman" w:hAnsi="Calibri" w:cs="Calibri"/>
          <w:sz w:val="22"/>
          <w:szCs w:val="22"/>
          <w:lang w:eastAsia="en-AU"/>
        </w:rPr>
        <w:t>anel during the assessment process where required</w:t>
      </w:r>
      <w:r w:rsidR="000A6392">
        <w:rPr>
          <w:rFonts w:ascii="Calibri" w:eastAsia="Times New Roman" w:hAnsi="Calibri" w:cs="Calibri"/>
          <w:sz w:val="22"/>
          <w:szCs w:val="22"/>
          <w:lang w:eastAsia="en-AU"/>
        </w:rPr>
        <w:t xml:space="preserve"> by a person or team that has not been involved in the decision that is the subject of the dispute or the previous dispute assessed by the Assessment Panel. </w:t>
      </w:r>
    </w:p>
    <w:p w14:paraId="13A3BF17" w14:textId="77777777" w:rsidR="000B1C31" w:rsidRPr="0002753E" w:rsidRDefault="000B1C31" w:rsidP="00BA3697">
      <w:pPr>
        <w:keepNext/>
        <w:keepLines/>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18.8</w:t>
      </w:r>
      <w:r>
        <w:rPr>
          <w:rFonts w:ascii="Calibri" w:eastAsia="Times New Roman" w:hAnsi="Calibri" w:cs="Calibri"/>
          <w:sz w:val="22"/>
          <w:szCs w:val="22"/>
          <w:lang w:eastAsia="en-AU"/>
        </w:rPr>
        <w:tab/>
        <w:t xml:space="preserve">For the avoidance of doubt, the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need not conduct a hearing or any other meeting or conference with all or any of the parties. </w:t>
      </w:r>
    </w:p>
    <w:p w14:paraId="0BE68670" w14:textId="77777777" w:rsidR="00BA3697" w:rsidRPr="0002753E" w:rsidRDefault="00BA3697" w:rsidP="00BA3697">
      <w:pPr>
        <w:widowControl w:val="0"/>
        <w:autoSpaceDE w:val="0"/>
        <w:autoSpaceDN w:val="0"/>
        <w:snapToGrid/>
        <w:spacing w:line="360" w:lineRule="auto"/>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 xml:space="preserve"> </w:t>
      </w:r>
    </w:p>
    <w:p w14:paraId="25C02931" w14:textId="77777777" w:rsidR="00BA3697" w:rsidRPr="0002753E" w:rsidRDefault="00BA3697" w:rsidP="00BA3697">
      <w:pPr>
        <w:spacing w:line="360" w:lineRule="auto"/>
        <w:rPr>
          <w:rFonts w:ascii="Calibri" w:hAnsi="Calibri" w:cs="Calibri"/>
          <w:b/>
          <w:sz w:val="22"/>
          <w:szCs w:val="22"/>
        </w:rPr>
      </w:pPr>
      <w:bookmarkStart w:id="44" w:name="_Toc325044401"/>
      <w:r w:rsidRPr="0002753E">
        <w:rPr>
          <w:rFonts w:ascii="Calibri" w:hAnsi="Calibri" w:cs="Calibri"/>
          <w:b/>
          <w:sz w:val="22"/>
          <w:szCs w:val="22"/>
        </w:rPr>
        <w:t>1</w:t>
      </w:r>
      <w:r w:rsidR="000B1C31">
        <w:rPr>
          <w:rFonts w:ascii="Calibri" w:hAnsi="Calibri" w:cs="Calibri"/>
          <w:b/>
          <w:sz w:val="22"/>
          <w:szCs w:val="22"/>
        </w:rPr>
        <w:t>9</w:t>
      </w:r>
      <w:r w:rsidRPr="0002753E">
        <w:rPr>
          <w:rFonts w:ascii="Calibri" w:hAnsi="Calibri" w:cs="Calibri"/>
          <w:b/>
          <w:sz w:val="22"/>
          <w:szCs w:val="22"/>
        </w:rPr>
        <w:tab/>
        <w:t xml:space="preserve">Review </w:t>
      </w:r>
      <w:r w:rsidR="0073047B">
        <w:rPr>
          <w:rFonts w:ascii="Calibri" w:hAnsi="Calibri" w:cs="Calibri"/>
          <w:b/>
          <w:sz w:val="22"/>
          <w:szCs w:val="22"/>
        </w:rPr>
        <w:t>P</w:t>
      </w:r>
      <w:r w:rsidRPr="0002753E">
        <w:rPr>
          <w:rFonts w:ascii="Calibri" w:hAnsi="Calibri" w:cs="Calibri"/>
          <w:b/>
          <w:sz w:val="22"/>
          <w:szCs w:val="22"/>
        </w:rPr>
        <w:t xml:space="preserve">anel </w:t>
      </w:r>
      <w:r w:rsidR="000B1C31">
        <w:rPr>
          <w:rFonts w:ascii="Calibri" w:hAnsi="Calibri" w:cs="Calibri"/>
          <w:b/>
          <w:sz w:val="22"/>
          <w:szCs w:val="22"/>
        </w:rPr>
        <w:t xml:space="preserve">determination and </w:t>
      </w:r>
      <w:r w:rsidRPr="0002753E">
        <w:rPr>
          <w:rFonts w:ascii="Calibri" w:hAnsi="Calibri" w:cs="Calibri"/>
          <w:b/>
          <w:sz w:val="22"/>
          <w:szCs w:val="22"/>
        </w:rPr>
        <w:t>certificate</w:t>
      </w:r>
      <w:bookmarkEnd w:id="44"/>
      <w:r w:rsidRPr="0002753E">
        <w:rPr>
          <w:rFonts w:ascii="Calibri" w:hAnsi="Calibri" w:cs="Calibri"/>
          <w:b/>
          <w:sz w:val="22"/>
          <w:szCs w:val="22"/>
        </w:rPr>
        <w:t xml:space="preserve"> </w:t>
      </w:r>
    </w:p>
    <w:p w14:paraId="57F9009C" w14:textId="77777777" w:rsidR="000B1C31" w:rsidRDefault="00BA3697"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sidRPr="0002753E">
        <w:rPr>
          <w:rFonts w:ascii="Calibri" w:eastAsia="Times New Roman" w:hAnsi="Calibri" w:cs="Calibri"/>
          <w:sz w:val="22"/>
          <w:szCs w:val="22"/>
          <w:lang w:eastAsia="en-AU"/>
        </w:rPr>
        <w:t>1</w:t>
      </w:r>
      <w:r w:rsidR="000B1C31">
        <w:rPr>
          <w:rFonts w:ascii="Calibri" w:eastAsia="Times New Roman" w:hAnsi="Calibri" w:cs="Calibri"/>
          <w:sz w:val="22"/>
          <w:szCs w:val="22"/>
          <w:lang w:eastAsia="en-AU"/>
        </w:rPr>
        <w:t>9</w:t>
      </w:r>
      <w:r w:rsidRPr="0002753E">
        <w:rPr>
          <w:rFonts w:ascii="Calibri" w:eastAsia="Times New Roman" w:hAnsi="Calibri" w:cs="Calibri"/>
          <w:sz w:val="22"/>
          <w:szCs w:val="22"/>
          <w:lang w:eastAsia="en-AU"/>
        </w:rPr>
        <w:t xml:space="preserve">.1 </w:t>
      </w:r>
      <w:r w:rsidRPr="0002753E">
        <w:rPr>
          <w:rFonts w:ascii="Calibri" w:eastAsia="Times New Roman" w:hAnsi="Calibri" w:cs="Calibri"/>
          <w:sz w:val="22"/>
          <w:szCs w:val="22"/>
          <w:lang w:eastAsia="en-AU"/>
        </w:rPr>
        <w:tab/>
      </w:r>
      <w:r w:rsidR="000B1C31" w:rsidRPr="000B1C31">
        <w:rPr>
          <w:rFonts w:ascii="Calibri" w:eastAsia="Times New Roman" w:hAnsi="Calibri" w:cs="Calibri"/>
          <w:sz w:val="22"/>
          <w:szCs w:val="22"/>
          <w:lang w:eastAsia="en-AU"/>
        </w:rPr>
        <w:t>The Review Panel can confirm the determination of the Assessment Panel or revoke the determination and substitute its own determination.</w:t>
      </w:r>
      <w:r w:rsidR="000B1C31" w:rsidRPr="000A3B99">
        <w:rPr>
          <w:rFonts w:eastAsia="Times New Roman" w:cs="Calibri"/>
          <w:sz w:val="22"/>
          <w:szCs w:val="22"/>
          <w:lang w:eastAsia="en-AU"/>
        </w:rPr>
        <w:t xml:space="preserve">  </w:t>
      </w:r>
    </w:p>
    <w:p w14:paraId="06994947" w14:textId="77777777" w:rsidR="00BA3697" w:rsidRPr="0002753E" w:rsidRDefault="000B1C31"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19.2</w:t>
      </w:r>
      <w:r>
        <w:rPr>
          <w:rFonts w:ascii="Calibri" w:eastAsia="Times New Roman" w:hAnsi="Calibri" w:cs="Calibri"/>
          <w:sz w:val="22"/>
          <w:szCs w:val="22"/>
          <w:lang w:eastAsia="en-AU"/>
        </w:rPr>
        <w:tab/>
      </w:r>
      <w:r w:rsidR="00BA3697" w:rsidRPr="0002753E">
        <w:rPr>
          <w:rFonts w:ascii="Calibri" w:eastAsia="Times New Roman" w:hAnsi="Calibri" w:cs="Calibri"/>
          <w:sz w:val="22"/>
          <w:szCs w:val="22"/>
          <w:lang w:eastAsia="en-AU"/>
        </w:rPr>
        <w:t xml:space="preserve">The </w:t>
      </w:r>
      <w:r w:rsidR="0073047B">
        <w:rPr>
          <w:rFonts w:ascii="Calibri" w:eastAsia="Times New Roman" w:hAnsi="Calibri" w:cs="Calibri"/>
          <w:sz w:val="22"/>
          <w:szCs w:val="22"/>
          <w:lang w:eastAsia="en-AU"/>
        </w:rPr>
        <w:t>R</w:t>
      </w:r>
      <w:r w:rsidR="00BA3697" w:rsidRPr="0002753E">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will issue a certificate that certifies its de</w:t>
      </w:r>
      <w:r>
        <w:rPr>
          <w:rFonts w:ascii="Calibri" w:eastAsia="Times New Roman" w:hAnsi="Calibri" w:cs="Calibri"/>
          <w:sz w:val="22"/>
          <w:szCs w:val="22"/>
          <w:lang w:eastAsia="en-AU"/>
        </w:rPr>
        <w:t>termination of</w:t>
      </w:r>
      <w:r w:rsidR="00BA3697" w:rsidRPr="0002753E">
        <w:rPr>
          <w:rFonts w:ascii="Calibri" w:eastAsia="Times New Roman" w:hAnsi="Calibri" w:cs="Calibri"/>
          <w:sz w:val="22"/>
          <w:szCs w:val="22"/>
          <w:lang w:eastAsia="en-AU"/>
        </w:rPr>
        <w:t xml:space="preserve"> the dispute. The </w:t>
      </w:r>
      <w:r>
        <w:rPr>
          <w:rFonts w:ascii="Calibri" w:eastAsia="Times New Roman" w:hAnsi="Calibri" w:cs="Calibri"/>
          <w:sz w:val="22"/>
          <w:szCs w:val="22"/>
          <w:lang w:eastAsia="en-AU"/>
        </w:rPr>
        <w:t xml:space="preserve">certificate will include written reasons for the determination and will be in the form </w:t>
      </w:r>
      <w:r w:rsidR="0044154D">
        <w:rPr>
          <w:rFonts w:ascii="Calibri" w:eastAsia="Times New Roman" w:hAnsi="Calibri" w:cs="Calibri"/>
          <w:sz w:val="22"/>
          <w:szCs w:val="22"/>
          <w:lang w:eastAsia="en-AU"/>
        </w:rPr>
        <w:t xml:space="preserve">approved by Lifetime Care. </w:t>
      </w:r>
    </w:p>
    <w:p w14:paraId="419CCBC9"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1</w:t>
      </w:r>
      <w:r w:rsidR="0044154D">
        <w:rPr>
          <w:rFonts w:ascii="Calibri" w:eastAsia="Times New Roman" w:hAnsi="Calibri" w:cs="Calibri"/>
          <w:sz w:val="22"/>
          <w:szCs w:val="22"/>
          <w:lang w:eastAsia="en-AU"/>
        </w:rPr>
        <w:t>9.3</w:t>
      </w:r>
      <w:r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R</w:t>
      </w:r>
      <w:r w:rsidR="000B1C31">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Pr="0002753E">
        <w:rPr>
          <w:rFonts w:ascii="Calibri" w:eastAsia="Times New Roman" w:hAnsi="Calibri" w:cs="Calibri"/>
          <w:sz w:val="22"/>
          <w:szCs w:val="22"/>
          <w:lang w:eastAsia="en-AU"/>
        </w:rPr>
        <w:t>anel will issue their certificate to all parties to the dispute within 15 working days of their final contact, clinical examination or final teleconference</w:t>
      </w:r>
      <w:r w:rsidR="0044154D">
        <w:rPr>
          <w:rFonts w:ascii="Calibri" w:eastAsia="Times New Roman" w:hAnsi="Calibri" w:cs="Calibri"/>
          <w:sz w:val="22"/>
          <w:szCs w:val="22"/>
          <w:lang w:eastAsia="en-AU"/>
        </w:rPr>
        <w:t>, whichever is the latest</w:t>
      </w:r>
      <w:r w:rsidRPr="0002753E">
        <w:rPr>
          <w:rFonts w:ascii="Calibri" w:eastAsia="Times New Roman" w:hAnsi="Calibri" w:cs="Calibri"/>
          <w:sz w:val="22"/>
          <w:szCs w:val="22"/>
          <w:lang w:eastAsia="en-AU"/>
        </w:rPr>
        <w:t xml:space="preserve">. </w:t>
      </w:r>
    </w:p>
    <w:p w14:paraId="3742B131" w14:textId="77777777" w:rsidR="00BA3697" w:rsidRPr="0002753E" w:rsidRDefault="00BA3697" w:rsidP="00BA3697">
      <w:pPr>
        <w:widowControl w:val="0"/>
        <w:autoSpaceDE w:val="0"/>
        <w:autoSpaceDN w:val="0"/>
        <w:snapToGrid/>
        <w:spacing w:line="360" w:lineRule="auto"/>
        <w:ind w:left="720" w:hanging="720"/>
        <w:rPr>
          <w:rFonts w:ascii="Calibri" w:eastAsia="Times New Roman" w:hAnsi="Calibri" w:cs="Calibri"/>
          <w:b/>
          <w:sz w:val="22"/>
          <w:szCs w:val="22"/>
          <w:lang w:eastAsia="en-AU"/>
        </w:rPr>
      </w:pPr>
      <w:r w:rsidRPr="0002753E">
        <w:rPr>
          <w:rFonts w:ascii="Calibri" w:eastAsia="Times New Roman" w:hAnsi="Calibri" w:cs="Calibri"/>
          <w:sz w:val="22"/>
          <w:szCs w:val="22"/>
          <w:lang w:eastAsia="en-AU"/>
        </w:rPr>
        <w:t>1</w:t>
      </w:r>
      <w:r w:rsidR="0044154D">
        <w:rPr>
          <w:rFonts w:ascii="Calibri" w:eastAsia="Times New Roman" w:hAnsi="Calibri" w:cs="Calibri"/>
          <w:sz w:val="22"/>
          <w:szCs w:val="22"/>
          <w:lang w:eastAsia="en-AU"/>
        </w:rPr>
        <w:t>9.4</w:t>
      </w:r>
      <w:r w:rsidRPr="0002753E">
        <w:rPr>
          <w:rFonts w:ascii="Calibri" w:eastAsia="Times New Roman" w:hAnsi="Calibri" w:cs="Calibri"/>
          <w:sz w:val="22"/>
          <w:szCs w:val="22"/>
          <w:lang w:eastAsia="en-AU"/>
        </w:rPr>
        <w:tab/>
      </w:r>
      <w:r w:rsidR="0044154D">
        <w:rPr>
          <w:rFonts w:ascii="Calibri" w:eastAsia="Times New Roman" w:hAnsi="Calibri" w:cs="Calibri"/>
          <w:sz w:val="22"/>
          <w:szCs w:val="22"/>
          <w:lang w:eastAsia="en-AU"/>
        </w:rPr>
        <w:t>Where</w:t>
      </w:r>
      <w:r w:rsidRPr="0002753E">
        <w:rPr>
          <w:rFonts w:ascii="Calibri" w:eastAsia="Times New Roman" w:hAnsi="Calibri" w:cs="Calibri"/>
          <w:sz w:val="22"/>
          <w:szCs w:val="22"/>
          <w:lang w:eastAsia="en-AU"/>
        </w:rPr>
        <w:t xml:space="preserve"> required, Lifetime Care will implement the determination within 5 working days of receipt. </w:t>
      </w:r>
    </w:p>
    <w:p w14:paraId="1494701B" w14:textId="77777777" w:rsidR="00BA3697" w:rsidRPr="0002753E" w:rsidRDefault="00BA3697" w:rsidP="00BA3697">
      <w:pPr>
        <w:widowControl w:val="0"/>
        <w:autoSpaceDE w:val="0"/>
        <w:autoSpaceDN w:val="0"/>
        <w:snapToGrid/>
        <w:spacing w:line="360" w:lineRule="auto"/>
        <w:outlineLvl w:val="2"/>
        <w:rPr>
          <w:rFonts w:ascii="Calibri" w:eastAsia="Times New Roman" w:hAnsi="Calibri" w:cs="Calibri"/>
          <w:b/>
          <w:sz w:val="22"/>
          <w:szCs w:val="22"/>
          <w:lang w:eastAsia="en-AU"/>
        </w:rPr>
      </w:pPr>
      <w:bookmarkStart w:id="45" w:name="_Toc325044402"/>
    </w:p>
    <w:p w14:paraId="1D9D8457" w14:textId="77777777" w:rsidR="00BA3697" w:rsidRPr="0002753E" w:rsidRDefault="0044154D" w:rsidP="00BA3697">
      <w:pPr>
        <w:spacing w:line="360" w:lineRule="auto"/>
        <w:rPr>
          <w:rFonts w:ascii="Calibri" w:hAnsi="Calibri" w:cs="Calibri"/>
          <w:b/>
          <w:sz w:val="22"/>
          <w:szCs w:val="22"/>
        </w:rPr>
      </w:pPr>
      <w:r>
        <w:rPr>
          <w:rFonts w:ascii="Calibri" w:hAnsi="Calibri" w:cs="Calibri"/>
          <w:b/>
          <w:sz w:val="22"/>
          <w:szCs w:val="22"/>
        </w:rPr>
        <w:t>20</w:t>
      </w:r>
      <w:r w:rsidR="00BA3697" w:rsidRPr="0002753E">
        <w:rPr>
          <w:rFonts w:ascii="Calibri" w:hAnsi="Calibri" w:cs="Calibri"/>
          <w:b/>
          <w:sz w:val="22"/>
          <w:szCs w:val="22"/>
        </w:rPr>
        <w:tab/>
        <w:t>Corrections of obvious errors in certificates</w:t>
      </w:r>
      <w:bookmarkEnd w:id="45"/>
      <w:r w:rsidR="00BA3697" w:rsidRPr="0002753E">
        <w:rPr>
          <w:rFonts w:ascii="Calibri" w:hAnsi="Calibri" w:cs="Calibri"/>
          <w:b/>
          <w:sz w:val="22"/>
          <w:szCs w:val="22"/>
        </w:rPr>
        <w:t xml:space="preserve"> </w:t>
      </w:r>
    </w:p>
    <w:p w14:paraId="3EEAD0DA" w14:textId="77777777" w:rsidR="00BA3697" w:rsidRPr="0002753E" w:rsidRDefault="0044154D"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BA3697" w:rsidRPr="0002753E">
        <w:rPr>
          <w:rFonts w:ascii="Calibri" w:eastAsia="Times New Roman" w:hAnsi="Calibri" w:cs="Calibri"/>
          <w:sz w:val="22"/>
          <w:szCs w:val="22"/>
          <w:lang w:eastAsia="en-AU"/>
        </w:rPr>
        <w:t xml:space="preserve">.1 </w:t>
      </w:r>
      <w:r w:rsidR="00BA3697" w:rsidRPr="0002753E">
        <w:rPr>
          <w:rFonts w:ascii="Calibri" w:eastAsia="Times New Roman" w:hAnsi="Calibri" w:cs="Calibri"/>
          <w:sz w:val="22"/>
          <w:szCs w:val="22"/>
          <w:lang w:eastAsia="en-AU"/>
        </w:rPr>
        <w:tab/>
        <w:t xml:space="preserve">If a party considers that </w:t>
      </w:r>
      <w:r>
        <w:rPr>
          <w:rFonts w:ascii="Calibri" w:eastAsia="Times New Roman" w:hAnsi="Calibri" w:cs="Calibri"/>
          <w:sz w:val="22"/>
          <w:szCs w:val="22"/>
          <w:lang w:eastAsia="en-AU"/>
        </w:rPr>
        <w:t xml:space="preserve">an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or </w:t>
      </w:r>
      <w:r w:rsidR="00BA3697" w:rsidRPr="0002753E">
        <w:rPr>
          <w:rFonts w:ascii="Calibri" w:eastAsia="Times New Roman" w:hAnsi="Calibri" w:cs="Calibri"/>
          <w:sz w:val="22"/>
          <w:szCs w:val="22"/>
          <w:lang w:eastAsia="en-AU"/>
        </w:rPr>
        <w:t xml:space="preserve">a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 has made an obvious error in a certificate, that party may apply to Lifetime Care to have the error corrected within 30 working days of the date on the certificate.  An obvious error may also be corrected as a result of a</w:t>
      </w:r>
      <w:r>
        <w:rPr>
          <w:rFonts w:ascii="Calibri" w:eastAsia="Times New Roman" w:hAnsi="Calibri" w:cs="Calibri"/>
          <w:sz w:val="22"/>
          <w:szCs w:val="22"/>
          <w:lang w:eastAsia="en-AU"/>
        </w:rPr>
        <w:t>n</w:t>
      </w:r>
      <w:r w:rsidR="00BA3697" w:rsidRPr="0002753E">
        <w:rPr>
          <w:rFonts w:ascii="Calibri" w:eastAsia="Times New Roman" w:hAnsi="Calibri" w:cs="Calibri"/>
          <w:sz w:val="22"/>
          <w:szCs w:val="22"/>
          <w:lang w:eastAsia="en-AU"/>
        </w:rPr>
        <w:t xml:space="preserve">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anel’s </w:t>
      </w:r>
      <w:r>
        <w:rPr>
          <w:rFonts w:ascii="Calibri" w:eastAsia="Times New Roman" w:hAnsi="Calibri" w:cs="Calibri"/>
          <w:sz w:val="22"/>
          <w:szCs w:val="22"/>
          <w:lang w:eastAsia="en-AU"/>
        </w:rPr>
        <w:t xml:space="preserve">or a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anel’s </w:t>
      </w:r>
      <w:r w:rsidR="00BA3697" w:rsidRPr="0002753E">
        <w:rPr>
          <w:rFonts w:ascii="Calibri" w:eastAsia="Times New Roman" w:hAnsi="Calibri" w:cs="Calibri"/>
          <w:sz w:val="22"/>
          <w:szCs w:val="22"/>
          <w:lang w:eastAsia="en-AU"/>
        </w:rPr>
        <w:t>identification of an obvious error in the certificate.</w:t>
      </w:r>
    </w:p>
    <w:p w14:paraId="515B0D77" w14:textId="77777777" w:rsidR="00BA3697" w:rsidRPr="0002753E" w:rsidRDefault="0044154D"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BA3697" w:rsidRPr="0002753E">
        <w:rPr>
          <w:rFonts w:ascii="Calibri" w:eastAsia="Times New Roman" w:hAnsi="Calibri" w:cs="Calibri"/>
          <w:sz w:val="22"/>
          <w:szCs w:val="22"/>
          <w:lang w:eastAsia="en-AU"/>
        </w:rPr>
        <w:t xml:space="preserve">.2 </w:t>
      </w:r>
      <w:r w:rsidR="00BA3697" w:rsidRPr="0002753E">
        <w:rPr>
          <w:rFonts w:ascii="Calibri" w:eastAsia="Times New Roman" w:hAnsi="Calibri" w:cs="Calibri"/>
          <w:sz w:val="22"/>
          <w:szCs w:val="22"/>
          <w:lang w:eastAsia="en-AU"/>
        </w:rPr>
        <w:tab/>
        <w:t xml:space="preserve">The application to have the error corrected must be made in writing, including the details of the obvious error and the suggested correction. An obvious error in the certificate may only include an obvious clerical or typographical error in the certificate, or an error arising from an obvious omission or inconsistency. </w:t>
      </w:r>
    </w:p>
    <w:p w14:paraId="2D207901" w14:textId="77777777" w:rsidR="00BA3697" w:rsidRPr="0002753E" w:rsidRDefault="0044154D"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BA3697" w:rsidRPr="0002753E">
        <w:rPr>
          <w:rFonts w:ascii="Calibri" w:eastAsia="Times New Roman" w:hAnsi="Calibri" w:cs="Calibri"/>
          <w:sz w:val="22"/>
          <w:szCs w:val="22"/>
          <w:lang w:eastAsia="en-AU"/>
        </w:rPr>
        <w:t xml:space="preserve">.3 </w:t>
      </w:r>
      <w:r w:rsidR="00BA3697" w:rsidRPr="0002753E">
        <w:rPr>
          <w:rFonts w:ascii="Calibri" w:eastAsia="Times New Roman" w:hAnsi="Calibri" w:cs="Calibri"/>
          <w:sz w:val="22"/>
          <w:szCs w:val="22"/>
          <w:lang w:eastAsia="en-AU"/>
        </w:rPr>
        <w:tab/>
        <w:t xml:space="preserve">Lifetime Care will forward this request to any other party within 10 working days of receipt, after which time that party has 20 working days in which to make a submission on the application to </w:t>
      </w:r>
      <w:r w:rsidR="00BA3697" w:rsidRPr="0002753E">
        <w:rPr>
          <w:rFonts w:ascii="Calibri" w:eastAsia="Times New Roman" w:hAnsi="Calibri" w:cs="Calibri"/>
          <w:sz w:val="22"/>
          <w:szCs w:val="22"/>
          <w:lang w:eastAsia="en-AU"/>
        </w:rPr>
        <w:lastRenderedPageBreak/>
        <w:t xml:space="preserve">have the error corrected.  </w:t>
      </w:r>
    </w:p>
    <w:p w14:paraId="51CEEEFC" w14:textId="77777777" w:rsidR="00BA3697" w:rsidRPr="0002753E" w:rsidRDefault="0044154D" w:rsidP="00BA3697">
      <w:pPr>
        <w:widowControl w:val="0"/>
        <w:autoSpaceDE w:val="0"/>
        <w:autoSpaceDN w:val="0"/>
        <w:snapToGrid/>
        <w:spacing w:line="360" w:lineRule="auto"/>
        <w:ind w:left="720" w:hanging="720"/>
        <w:rPr>
          <w:rFonts w:ascii="Calibri" w:eastAsia="Times New Roman" w:hAnsi="Calibri" w:cs="Calibri"/>
          <w:sz w:val="22"/>
          <w:szCs w:val="22"/>
          <w:lang w:eastAsia="en-AU"/>
        </w:rPr>
      </w:pPr>
      <w:r>
        <w:rPr>
          <w:rFonts w:ascii="Calibri" w:eastAsia="Times New Roman" w:hAnsi="Calibri" w:cs="Calibri"/>
          <w:sz w:val="22"/>
          <w:szCs w:val="22"/>
          <w:lang w:eastAsia="en-AU"/>
        </w:rPr>
        <w:t>20</w:t>
      </w:r>
      <w:r w:rsidR="00BA3697" w:rsidRPr="0002753E">
        <w:rPr>
          <w:rFonts w:ascii="Calibri" w:eastAsia="Times New Roman" w:hAnsi="Calibri" w:cs="Calibri"/>
          <w:sz w:val="22"/>
          <w:szCs w:val="22"/>
          <w:lang w:eastAsia="en-AU"/>
        </w:rPr>
        <w:t xml:space="preserve">.4 </w:t>
      </w:r>
      <w:r w:rsidR="00BA3697" w:rsidRPr="0002753E">
        <w:rPr>
          <w:rFonts w:ascii="Calibri" w:eastAsia="Times New Roman" w:hAnsi="Calibri" w:cs="Calibri"/>
          <w:sz w:val="22"/>
          <w:szCs w:val="22"/>
          <w:lang w:eastAsia="en-AU"/>
        </w:rPr>
        <w:tab/>
        <w:t xml:space="preserve">Lifetime Care will send the application to the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t>
      </w:r>
      <w:r>
        <w:rPr>
          <w:rFonts w:ascii="Calibri" w:eastAsia="Times New Roman" w:hAnsi="Calibri" w:cs="Calibri"/>
          <w:sz w:val="22"/>
          <w:szCs w:val="22"/>
          <w:lang w:eastAsia="en-AU"/>
        </w:rPr>
        <w:t xml:space="preserve">or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w:t>
      </w:r>
      <w:r w:rsidR="00BA3697" w:rsidRPr="0002753E">
        <w:rPr>
          <w:rFonts w:ascii="Calibri" w:eastAsia="Times New Roman" w:hAnsi="Calibri" w:cs="Calibri"/>
          <w:sz w:val="22"/>
          <w:szCs w:val="22"/>
          <w:lang w:eastAsia="en-AU"/>
        </w:rPr>
        <w:t xml:space="preserve">within 10 working days of receipt of the application or any submission from the other party. The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anel</w:t>
      </w:r>
      <w:r>
        <w:rPr>
          <w:rFonts w:ascii="Calibri" w:eastAsia="Times New Roman" w:hAnsi="Calibri" w:cs="Calibri"/>
          <w:sz w:val="22"/>
          <w:szCs w:val="22"/>
          <w:lang w:eastAsia="en-AU"/>
        </w:rPr>
        <w:t xml:space="preserve"> or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anel</w:t>
      </w:r>
      <w:r w:rsidR="00BA3697" w:rsidRPr="0002753E">
        <w:rPr>
          <w:rFonts w:ascii="Calibri" w:eastAsia="Times New Roman" w:hAnsi="Calibri" w:cs="Calibri"/>
          <w:sz w:val="22"/>
          <w:szCs w:val="22"/>
          <w:lang w:eastAsia="en-AU"/>
        </w:rPr>
        <w:t xml:space="preserve"> must decide whether to issue a replacement certificate within 20 working days of receipt of the application to correct the obvious error, or receipt of the submission from the other party. </w:t>
      </w:r>
    </w:p>
    <w:p w14:paraId="22A382C1" w14:textId="021237AC" w:rsidR="0044154D" w:rsidRPr="0002753E" w:rsidRDefault="0044154D" w:rsidP="0044154D">
      <w:pPr>
        <w:widowControl w:val="0"/>
        <w:autoSpaceDE w:val="0"/>
        <w:autoSpaceDN w:val="0"/>
        <w:snapToGrid/>
        <w:spacing w:line="360" w:lineRule="auto"/>
        <w:ind w:left="720" w:hanging="720"/>
        <w:rPr>
          <w:rFonts w:ascii="Calibri" w:eastAsia="Times New Roman" w:hAnsi="Calibri" w:cs="Calibri"/>
          <w:sz w:val="22"/>
          <w:szCs w:val="22"/>
          <w:lang w:eastAsia="en-AU"/>
        </w:rPr>
        <w:sectPr w:rsidR="0044154D" w:rsidRPr="0002753E" w:rsidSect="00460C9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482" w:gutter="0"/>
          <w:cols w:space="708"/>
          <w:titlePg/>
          <w:docGrid w:linePitch="360"/>
        </w:sectPr>
      </w:pPr>
      <w:r>
        <w:rPr>
          <w:rFonts w:ascii="Calibri" w:eastAsia="Times New Roman" w:hAnsi="Calibri" w:cs="Calibri"/>
          <w:sz w:val="22"/>
          <w:szCs w:val="22"/>
          <w:lang w:eastAsia="en-AU"/>
        </w:rPr>
        <w:t>20</w:t>
      </w:r>
      <w:r w:rsidR="00BA3697" w:rsidRPr="0002753E">
        <w:rPr>
          <w:rFonts w:ascii="Calibri" w:eastAsia="Times New Roman" w:hAnsi="Calibri" w:cs="Calibri"/>
          <w:sz w:val="22"/>
          <w:szCs w:val="22"/>
          <w:lang w:eastAsia="en-AU"/>
        </w:rPr>
        <w:t xml:space="preserve">.5 </w:t>
      </w:r>
      <w:r w:rsidR="00BA3697" w:rsidRPr="0002753E">
        <w:rPr>
          <w:rFonts w:ascii="Calibri" w:eastAsia="Times New Roman" w:hAnsi="Calibri" w:cs="Calibri"/>
          <w:sz w:val="22"/>
          <w:szCs w:val="22"/>
          <w:lang w:eastAsia="en-AU"/>
        </w:rPr>
        <w:tab/>
        <w:t xml:space="preserve">The </w:t>
      </w:r>
      <w:r w:rsidR="0073047B">
        <w:rPr>
          <w:rFonts w:ascii="Calibri" w:eastAsia="Times New Roman" w:hAnsi="Calibri" w:cs="Calibri"/>
          <w:sz w:val="22"/>
          <w:szCs w:val="22"/>
          <w:lang w:eastAsia="en-AU"/>
        </w:rPr>
        <w:t>A</w:t>
      </w:r>
      <w:r>
        <w:rPr>
          <w:rFonts w:ascii="Calibri" w:eastAsia="Times New Roman" w:hAnsi="Calibri" w:cs="Calibri"/>
          <w:sz w:val="22"/>
          <w:szCs w:val="22"/>
          <w:lang w:eastAsia="en-AU"/>
        </w:rPr>
        <w:t xml:space="preserve">ssessment </w:t>
      </w:r>
      <w:r w:rsidR="0073047B">
        <w:rPr>
          <w:rFonts w:ascii="Calibri" w:eastAsia="Times New Roman" w:hAnsi="Calibri" w:cs="Calibri"/>
          <w:sz w:val="22"/>
          <w:szCs w:val="22"/>
          <w:lang w:eastAsia="en-AU"/>
        </w:rPr>
        <w:t>P</w:t>
      </w:r>
      <w:r w:rsidR="00BA3697" w:rsidRPr="0002753E">
        <w:rPr>
          <w:rFonts w:ascii="Calibri" w:eastAsia="Times New Roman" w:hAnsi="Calibri" w:cs="Calibri"/>
          <w:sz w:val="22"/>
          <w:szCs w:val="22"/>
          <w:lang w:eastAsia="en-AU"/>
        </w:rPr>
        <w:t xml:space="preserve">anel </w:t>
      </w:r>
      <w:r>
        <w:rPr>
          <w:rFonts w:ascii="Calibri" w:eastAsia="Times New Roman" w:hAnsi="Calibri" w:cs="Calibri"/>
          <w:sz w:val="22"/>
          <w:szCs w:val="22"/>
          <w:lang w:eastAsia="en-AU"/>
        </w:rPr>
        <w:t xml:space="preserve">or </w:t>
      </w:r>
      <w:r w:rsidR="0073047B">
        <w:rPr>
          <w:rFonts w:ascii="Calibri" w:eastAsia="Times New Roman" w:hAnsi="Calibri" w:cs="Calibri"/>
          <w:sz w:val="22"/>
          <w:szCs w:val="22"/>
          <w:lang w:eastAsia="en-AU"/>
        </w:rPr>
        <w:t>R</w:t>
      </w:r>
      <w:r>
        <w:rPr>
          <w:rFonts w:ascii="Calibri" w:eastAsia="Times New Roman" w:hAnsi="Calibri" w:cs="Calibri"/>
          <w:sz w:val="22"/>
          <w:szCs w:val="22"/>
          <w:lang w:eastAsia="en-AU"/>
        </w:rPr>
        <w:t xml:space="preserve">eview </w:t>
      </w:r>
      <w:r w:rsidR="0073047B">
        <w:rPr>
          <w:rFonts w:ascii="Calibri" w:eastAsia="Times New Roman" w:hAnsi="Calibri" w:cs="Calibri"/>
          <w:sz w:val="22"/>
          <w:szCs w:val="22"/>
          <w:lang w:eastAsia="en-AU"/>
        </w:rPr>
        <w:t>P</w:t>
      </w:r>
      <w:r>
        <w:rPr>
          <w:rFonts w:ascii="Calibri" w:eastAsia="Times New Roman" w:hAnsi="Calibri" w:cs="Calibri"/>
          <w:sz w:val="22"/>
          <w:szCs w:val="22"/>
          <w:lang w:eastAsia="en-AU"/>
        </w:rPr>
        <w:t xml:space="preserve">anel </w:t>
      </w:r>
      <w:r w:rsidR="00BA3697" w:rsidRPr="0002753E">
        <w:rPr>
          <w:rFonts w:ascii="Calibri" w:eastAsia="Times New Roman" w:hAnsi="Calibri" w:cs="Calibri"/>
          <w:sz w:val="22"/>
          <w:szCs w:val="22"/>
          <w:lang w:eastAsia="en-AU"/>
        </w:rPr>
        <w:t xml:space="preserve">may issue a replacement certificate that corrects any obvious error and that will replace the previous certificate. If a replacement certificate is issued, the replacement certificate is to be </w:t>
      </w:r>
      <w:r>
        <w:rPr>
          <w:rFonts w:ascii="Calibri" w:eastAsia="Times New Roman" w:hAnsi="Calibri" w:cs="Calibri"/>
          <w:sz w:val="22"/>
          <w:szCs w:val="22"/>
          <w:lang w:eastAsia="en-AU"/>
        </w:rPr>
        <w:t>identified</w:t>
      </w:r>
      <w:r w:rsidR="00BA3697" w:rsidRPr="0002753E">
        <w:rPr>
          <w:rFonts w:ascii="Calibri" w:eastAsia="Times New Roman" w:hAnsi="Calibri" w:cs="Calibri"/>
          <w:sz w:val="22"/>
          <w:szCs w:val="22"/>
          <w:lang w:eastAsia="en-AU"/>
        </w:rPr>
        <w:t xml:space="preserve"> as a replacement certificate and will supersede the previous certificate</w:t>
      </w:r>
      <w:r w:rsidR="00FF310E">
        <w:rPr>
          <w:rFonts w:ascii="Calibri" w:eastAsia="Times New Roman" w:hAnsi="Calibri" w:cs="Calibri"/>
          <w:sz w:val="22"/>
          <w:szCs w:val="22"/>
          <w:lang w:eastAsia="en-AU"/>
        </w:rPr>
        <w:t>.</w:t>
      </w:r>
    </w:p>
    <w:p w14:paraId="75DBD89D" w14:textId="77777777" w:rsidR="001229C5" w:rsidRPr="0044154D" w:rsidRDefault="001229C5" w:rsidP="0044154D">
      <w:pPr>
        <w:tabs>
          <w:tab w:val="left" w:pos="2112"/>
        </w:tabs>
      </w:pPr>
    </w:p>
    <w:sectPr w:rsidR="001229C5" w:rsidRPr="0044154D" w:rsidSect="001C09A3">
      <w:headerReference w:type="even" r:id="rId14"/>
      <w:headerReference w:type="default" r:id="rId15"/>
      <w:headerReference w:type="first" r:id="rId16"/>
      <w:pgSz w:w="11907" w:h="16840" w:code="9"/>
      <w:pgMar w:top="1134" w:right="1134" w:bottom="1134" w:left="1134" w:header="72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9D08" w14:textId="77777777" w:rsidR="003F543F" w:rsidRDefault="003F543F">
      <w:r>
        <w:separator/>
      </w:r>
    </w:p>
  </w:endnote>
  <w:endnote w:type="continuationSeparator" w:id="0">
    <w:p w14:paraId="2CE959DC" w14:textId="77777777" w:rsidR="003F543F" w:rsidRDefault="003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F281" w14:textId="77777777" w:rsidR="00623962" w:rsidRDefault="0062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55714"/>
      <w:docPartObj>
        <w:docPartGallery w:val="Page Numbers (Bottom of Page)"/>
        <w:docPartUnique/>
      </w:docPartObj>
    </w:sdtPr>
    <w:sdtEndPr/>
    <w:sdtContent>
      <w:sdt>
        <w:sdtPr>
          <w:id w:val="-1846925975"/>
          <w:docPartObj>
            <w:docPartGallery w:val="Page Numbers (Top of Page)"/>
            <w:docPartUnique/>
          </w:docPartObj>
        </w:sdtPr>
        <w:sdtEndPr/>
        <w:sdtContent>
          <w:p w14:paraId="251218A7" w14:textId="5EED4301" w:rsidR="00232C1C" w:rsidRDefault="00232C1C" w:rsidP="00232C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3E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3E29">
              <w:rPr>
                <w:b/>
                <w:bCs/>
                <w:noProof/>
              </w:rPr>
              <w:t>19</w:t>
            </w:r>
            <w:r>
              <w:rPr>
                <w:b/>
                <w:bCs/>
                <w:sz w:val="24"/>
                <w:szCs w:val="24"/>
              </w:rPr>
              <w:fldChar w:fldCharType="end"/>
            </w:r>
          </w:p>
        </w:sdtContent>
      </w:sdt>
    </w:sdtContent>
  </w:sdt>
  <w:p w14:paraId="42487764" w14:textId="77777777" w:rsidR="00232C1C" w:rsidRPr="00907BB0" w:rsidRDefault="00232C1C" w:rsidP="00232C1C">
    <w:pPr>
      <w:pStyle w:val="Footer"/>
      <w:jc w:val="center"/>
      <w:rPr>
        <w:sz w:val="20"/>
        <w:szCs w:val="20"/>
      </w:rPr>
    </w:pPr>
    <w:r>
      <w:rPr>
        <w:rFonts w:ascii="Calibri" w:eastAsia="Times New Roman" w:hAnsi="Calibri" w:cs="Calibri"/>
        <w:b/>
        <w:bCs/>
        <w:color w:val="231F20"/>
        <w:sz w:val="20"/>
        <w:szCs w:val="20"/>
        <w:lang w:eastAsia="en-US"/>
      </w:rPr>
      <w:t xml:space="preserve">CONSULTATION DRAFT </w:t>
    </w:r>
    <w:r w:rsidRPr="0091647A">
      <w:rPr>
        <w:rFonts w:ascii="Calibri" w:eastAsia="Times New Roman" w:hAnsi="Calibri" w:cs="Calibri"/>
        <w:b/>
        <w:bCs/>
        <w:color w:val="231F20"/>
        <w:sz w:val="20"/>
        <w:szCs w:val="20"/>
        <w:lang w:eastAsia="en-US"/>
      </w:rPr>
      <w:t xml:space="preserve">PART </w:t>
    </w:r>
    <w:r>
      <w:rPr>
        <w:rFonts w:ascii="Calibri" w:eastAsia="Times New Roman" w:hAnsi="Calibri" w:cs="Calibri"/>
        <w:b/>
        <w:bCs/>
        <w:color w:val="231F20"/>
        <w:sz w:val="20"/>
        <w:szCs w:val="20"/>
        <w:lang w:eastAsia="en-US"/>
      </w:rPr>
      <w:t>2</w:t>
    </w:r>
    <w:r w:rsidRPr="0091647A">
      <w:rPr>
        <w:rFonts w:ascii="Calibri" w:eastAsia="Times New Roman" w:hAnsi="Calibri" w:cs="Calibri"/>
        <w:b/>
        <w:bCs/>
        <w:color w:val="231F20"/>
        <w:sz w:val="20"/>
        <w:szCs w:val="20"/>
        <w:lang w:eastAsia="en-US"/>
      </w:rPr>
      <w:t xml:space="preserve">: </w:t>
    </w:r>
    <w:r>
      <w:rPr>
        <w:rFonts w:ascii="Calibri" w:eastAsia="Times New Roman" w:hAnsi="Calibri" w:cs="Calibri"/>
        <w:b/>
        <w:bCs/>
        <w:color w:val="231F20"/>
        <w:sz w:val="20"/>
        <w:szCs w:val="20"/>
        <w:lang w:eastAsia="en-US"/>
      </w:rPr>
      <w:t>Guidelines for disputes about eligibility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3C6D" w14:textId="77777777" w:rsidR="00623962" w:rsidRDefault="0062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B529A" w14:textId="77777777" w:rsidR="003F543F" w:rsidRDefault="003F543F">
      <w:r>
        <w:separator/>
      </w:r>
    </w:p>
  </w:footnote>
  <w:footnote w:type="continuationSeparator" w:id="0">
    <w:p w14:paraId="6F35EA23" w14:textId="77777777" w:rsidR="003F543F" w:rsidRDefault="003F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458B" w14:textId="77777777" w:rsidR="00623962" w:rsidRDefault="00623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9687" w14:textId="2EA83B84" w:rsidR="00232C1C" w:rsidRDefault="0023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6131" w14:textId="48876683" w:rsidR="00460C9C" w:rsidRDefault="003F543F">
    <w:pPr>
      <w:pStyle w:val="Header"/>
    </w:pPr>
    <w:sdt>
      <w:sdtPr>
        <w:id w:val="584963068"/>
        <w:docPartObj>
          <w:docPartGallery w:val="Watermarks"/>
          <w:docPartUnique/>
        </w:docPartObj>
      </w:sdtPr>
      <w:sdtEndPr/>
      <w:sdtContent>
        <w:r>
          <w:rPr>
            <w:noProof/>
          </w:rPr>
          <w:pict w14:anchorId="68C4D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0C9C">
      <w:rPr>
        <w:noProof/>
        <w:lang w:eastAsia="en-AU"/>
      </w:rPr>
      <w:drawing>
        <wp:inline distT="0" distB="0" distL="0" distR="0" wp14:anchorId="0EF39188" wp14:editId="3122CA94">
          <wp:extent cx="3215640" cy="929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9296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F3BC" w14:textId="7B1B263A" w:rsidR="009C729D" w:rsidRDefault="009C72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E4DA" w14:textId="5B9670A9" w:rsidR="009C729D" w:rsidRDefault="009C72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F726" w14:textId="056E7F6D" w:rsidR="00232C1C" w:rsidRDefault="00232C1C" w:rsidP="0082035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7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C637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3253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A0BD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EA1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41C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27A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9427D4"/>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11400685"/>
    <w:multiLevelType w:val="hybridMultilevel"/>
    <w:tmpl w:val="06F07F62"/>
    <w:lvl w:ilvl="0" w:tplc="356CE5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2CB2731"/>
    <w:multiLevelType w:val="hybridMultilevel"/>
    <w:tmpl w:val="6E50604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5673FF6"/>
    <w:multiLevelType w:val="hybridMultilevel"/>
    <w:tmpl w:val="F3383C34"/>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985300"/>
    <w:multiLevelType w:val="hybridMultilevel"/>
    <w:tmpl w:val="F0826E4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8703D08"/>
    <w:multiLevelType w:val="hybridMultilevel"/>
    <w:tmpl w:val="4F24AF6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9E173B8"/>
    <w:multiLevelType w:val="hybridMultilevel"/>
    <w:tmpl w:val="7B2CCBE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724C54"/>
    <w:multiLevelType w:val="hybridMultilevel"/>
    <w:tmpl w:val="0D9A4C6A"/>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295FF8"/>
    <w:multiLevelType w:val="hybridMultilevel"/>
    <w:tmpl w:val="00B22056"/>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1E4D92"/>
    <w:multiLevelType w:val="hybridMultilevel"/>
    <w:tmpl w:val="8AD80E56"/>
    <w:lvl w:ilvl="0" w:tplc="632C2DD8">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CCC506B"/>
    <w:multiLevelType w:val="hybridMultilevel"/>
    <w:tmpl w:val="BE52DF3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5D50E2"/>
    <w:multiLevelType w:val="hybridMultilevel"/>
    <w:tmpl w:val="5AD870B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1DD2178"/>
    <w:multiLevelType w:val="hybridMultilevel"/>
    <w:tmpl w:val="6E50604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4487A21"/>
    <w:multiLevelType w:val="multilevel"/>
    <w:tmpl w:val="0BDC7990"/>
    <w:lvl w:ilvl="0">
      <w:start w:val="13"/>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4D04FA"/>
    <w:multiLevelType w:val="hybridMultilevel"/>
    <w:tmpl w:val="2B6ADD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84B447C"/>
    <w:multiLevelType w:val="hybridMultilevel"/>
    <w:tmpl w:val="1B26E152"/>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A1C070B"/>
    <w:multiLevelType w:val="hybridMultilevel"/>
    <w:tmpl w:val="DDF0FC2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F032666"/>
    <w:multiLevelType w:val="hybridMultilevel"/>
    <w:tmpl w:val="ABA0BB7A"/>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901D04"/>
    <w:multiLevelType w:val="hybridMultilevel"/>
    <w:tmpl w:val="D018A0B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A350BD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037BAA"/>
    <w:multiLevelType w:val="hybridMultilevel"/>
    <w:tmpl w:val="176ABF7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FBA5BEB"/>
    <w:multiLevelType w:val="hybridMultilevel"/>
    <w:tmpl w:val="018CBA8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6776B3A"/>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B4B39"/>
    <w:multiLevelType w:val="hybridMultilevel"/>
    <w:tmpl w:val="FC782686"/>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FBF5AE9"/>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CF70B6"/>
    <w:multiLevelType w:val="hybridMultilevel"/>
    <w:tmpl w:val="94F6341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8CC1B36"/>
    <w:multiLevelType w:val="hybridMultilevel"/>
    <w:tmpl w:val="C8840168"/>
    <w:lvl w:ilvl="0" w:tplc="71F2AF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9041CC1"/>
    <w:multiLevelType w:val="hybridMultilevel"/>
    <w:tmpl w:val="B3DEC58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F211B05"/>
    <w:multiLevelType w:val="hybridMultilevel"/>
    <w:tmpl w:val="ABC896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21F66D7"/>
    <w:multiLevelType w:val="hybridMultilevel"/>
    <w:tmpl w:val="078CFFB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5B32FD4"/>
    <w:multiLevelType w:val="hybridMultilevel"/>
    <w:tmpl w:val="4BFA2372"/>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8F68CF"/>
    <w:multiLevelType w:val="hybridMultilevel"/>
    <w:tmpl w:val="8A3C8080"/>
    <w:lvl w:ilvl="0" w:tplc="C5C81C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C744D53"/>
    <w:multiLevelType w:val="multilevel"/>
    <w:tmpl w:val="417A300E"/>
    <w:lvl w:ilvl="0">
      <w:start w:val="1"/>
      <w:numFmt w:val="lowerLetter"/>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3200C9"/>
    <w:multiLevelType w:val="hybridMultilevel"/>
    <w:tmpl w:val="B7DE3FF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31"/>
  </w:num>
  <w:num w:numId="13">
    <w:abstractNumId w:val="28"/>
  </w:num>
  <w:num w:numId="14">
    <w:abstractNumId w:val="33"/>
  </w:num>
  <w:num w:numId="15">
    <w:abstractNumId w:val="16"/>
  </w:num>
  <w:num w:numId="16">
    <w:abstractNumId w:val="12"/>
  </w:num>
  <w:num w:numId="17">
    <w:abstractNumId w:val="26"/>
  </w:num>
  <w:num w:numId="18">
    <w:abstractNumId w:val="39"/>
  </w:num>
  <w:num w:numId="19">
    <w:abstractNumId w:val="17"/>
  </w:num>
  <w:num w:numId="20">
    <w:abstractNumId w:val="11"/>
  </w:num>
  <w:num w:numId="21">
    <w:abstractNumId w:val="25"/>
  </w:num>
  <w:num w:numId="22">
    <w:abstractNumId w:val="32"/>
  </w:num>
  <w:num w:numId="23">
    <w:abstractNumId w:val="30"/>
  </w:num>
  <w:num w:numId="24">
    <w:abstractNumId w:val="38"/>
  </w:num>
  <w:num w:numId="25">
    <w:abstractNumId w:val="14"/>
  </w:num>
  <w:num w:numId="26">
    <w:abstractNumId w:val="24"/>
  </w:num>
  <w:num w:numId="27">
    <w:abstractNumId w:val="18"/>
  </w:num>
  <w:num w:numId="28">
    <w:abstractNumId w:val="42"/>
  </w:num>
  <w:num w:numId="29">
    <w:abstractNumId w:val="15"/>
  </w:num>
  <w:num w:numId="30">
    <w:abstractNumId w:val="27"/>
  </w:num>
  <w:num w:numId="31">
    <w:abstractNumId w:val="34"/>
  </w:num>
  <w:num w:numId="32">
    <w:abstractNumId w:val="36"/>
  </w:num>
  <w:num w:numId="33">
    <w:abstractNumId w:val="19"/>
  </w:num>
  <w:num w:numId="34">
    <w:abstractNumId w:val="13"/>
  </w:num>
  <w:num w:numId="35">
    <w:abstractNumId w:val="20"/>
  </w:num>
  <w:num w:numId="36">
    <w:abstractNumId w:val="29"/>
  </w:num>
  <w:num w:numId="37">
    <w:abstractNumId w:val="37"/>
  </w:num>
  <w:num w:numId="38">
    <w:abstractNumId w:val="21"/>
  </w:num>
  <w:num w:numId="39">
    <w:abstractNumId w:val="41"/>
  </w:num>
  <w:num w:numId="40">
    <w:abstractNumId w:val="40"/>
  </w:num>
  <w:num w:numId="41">
    <w:abstractNumId w:val="22"/>
  </w:num>
  <w:num w:numId="42">
    <w:abstractNumId w:val="10"/>
  </w:num>
  <w:num w:numId="43">
    <w:abstractNumId w:val="2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97"/>
    <w:rsid w:val="00002055"/>
    <w:rsid w:val="00003847"/>
    <w:rsid w:val="000040F5"/>
    <w:rsid w:val="00013E15"/>
    <w:rsid w:val="00017898"/>
    <w:rsid w:val="00023E2C"/>
    <w:rsid w:val="00024FA7"/>
    <w:rsid w:val="0004006D"/>
    <w:rsid w:val="00040819"/>
    <w:rsid w:val="0005278F"/>
    <w:rsid w:val="00061A91"/>
    <w:rsid w:val="00062F37"/>
    <w:rsid w:val="00065419"/>
    <w:rsid w:val="00066E7A"/>
    <w:rsid w:val="00072DD3"/>
    <w:rsid w:val="00072EEB"/>
    <w:rsid w:val="00076A85"/>
    <w:rsid w:val="000827A8"/>
    <w:rsid w:val="00085442"/>
    <w:rsid w:val="000A041F"/>
    <w:rsid w:val="000A23ED"/>
    <w:rsid w:val="000A6392"/>
    <w:rsid w:val="000B1C31"/>
    <w:rsid w:val="000B3764"/>
    <w:rsid w:val="000B3959"/>
    <w:rsid w:val="000D4EAA"/>
    <w:rsid w:val="000E2CF3"/>
    <w:rsid w:val="000F23BF"/>
    <w:rsid w:val="000F2716"/>
    <w:rsid w:val="0012122A"/>
    <w:rsid w:val="001229C5"/>
    <w:rsid w:val="001331A6"/>
    <w:rsid w:val="00135F8D"/>
    <w:rsid w:val="00173790"/>
    <w:rsid w:val="00176F7D"/>
    <w:rsid w:val="00180C44"/>
    <w:rsid w:val="001836EA"/>
    <w:rsid w:val="0019137B"/>
    <w:rsid w:val="001948F1"/>
    <w:rsid w:val="00195232"/>
    <w:rsid w:val="001C09A3"/>
    <w:rsid w:val="001F1998"/>
    <w:rsid w:val="001F2077"/>
    <w:rsid w:val="001F2CFB"/>
    <w:rsid w:val="00206055"/>
    <w:rsid w:val="00210004"/>
    <w:rsid w:val="00216E24"/>
    <w:rsid w:val="002173C7"/>
    <w:rsid w:val="002233C9"/>
    <w:rsid w:val="0022583F"/>
    <w:rsid w:val="00232C1C"/>
    <w:rsid w:val="00232D70"/>
    <w:rsid w:val="002425DF"/>
    <w:rsid w:val="00250FA8"/>
    <w:rsid w:val="0025715A"/>
    <w:rsid w:val="00266AF4"/>
    <w:rsid w:val="00267A42"/>
    <w:rsid w:val="00270AAF"/>
    <w:rsid w:val="002964CF"/>
    <w:rsid w:val="002C4890"/>
    <w:rsid w:val="002C57FE"/>
    <w:rsid w:val="002D6FB5"/>
    <w:rsid w:val="002E11A8"/>
    <w:rsid w:val="002E74DC"/>
    <w:rsid w:val="002F3189"/>
    <w:rsid w:val="0030384F"/>
    <w:rsid w:val="0031323D"/>
    <w:rsid w:val="00326E10"/>
    <w:rsid w:val="003329ED"/>
    <w:rsid w:val="00337345"/>
    <w:rsid w:val="00342012"/>
    <w:rsid w:val="00351B27"/>
    <w:rsid w:val="0038152B"/>
    <w:rsid w:val="0038164D"/>
    <w:rsid w:val="003842AE"/>
    <w:rsid w:val="003A0B79"/>
    <w:rsid w:val="003A3511"/>
    <w:rsid w:val="003A4E9D"/>
    <w:rsid w:val="003A7CF6"/>
    <w:rsid w:val="003C42DB"/>
    <w:rsid w:val="003D536C"/>
    <w:rsid w:val="003F12C1"/>
    <w:rsid w:val="003F543F"/>
    <w:rsid w:val="0040198B"/>
    <w:rsid w:val="00402CC4"/>
    <w:rsid w:val="004117DD"/>
    <w:rsid w:val="0041544A"/>
    <w:rsid w:val="0044154D"/>
    <w:rsid w:val="00441C83"/>
    <w:rsid w:val="00446C21"/>
    <w:rsid w:val="00457A1B"/>
    <w:rsid w:val="00457A23"/>
    <w:rsid w:val="00460C9C"/>
    <w:rsid w:val="004809AC"/>
    <w:rsid w:val="00493205"/>
    <w:rsid w:val="00493E29"/>
    <w:rsid w:val="004A06E9"/>
    <w:rsid w:val="004A1566"/>
    <w:rsid w:val="004A5161"/>
    <w:rsid w:val="004C0B9B"/>
    <w:rsid w:val="004C4AC1"/>
    <w:rsid w:val="00502105"/>
    <w:rsid w:val="005036F4"/>
    <w:rsid w:val="00503F6C"/>
    <w:rsid w:val="00511041"/>
    <w:rsid w:val="0051279E"/>
    <w:rsid w:val="00521157"/>
    <w:rsid w:val="00527086"/>
    <w:rsid w:val="00531555"/>
    <w:rsid w:val="0054087F"/>
    <w:rsid w:val="0055365D"/>
    <w:rsid w:val="0055748F"/>
    <w:rsid w:val="0056426F"/>
    <w:rsid w:val="0057670A"/>
    <w:rsid w:val="0058328A"/>
    <w:rsid w:val="00584B88"/>
    <w:rsid w:val="00584C32"/>
    <w:rsid w:val="00585D83"/>
    <w:rsid w:val="00587366"/>
    <w:rsid w:val="005B2999"/>
    <w:rsid w:val="005B7061"/>
    <w:rsid w:val="005D51B4"/>
    <w:rsid w:val="005E4472"/>
    <w:rsid w:val="005E59BB"/>
    <w:rsid w:val="005F53A1"/>
    <w:rsid w:val="006003D9"/>
    <w:rsid w:val="00600B6E"/>
    <w:rsid w:val="00611DE3"/>
    <w:rsid w:val="00613454"/>
    <w:rsid w:val="00616222"/>
    <w:rsid w:val="0062113A"/>
    <w:rsid w:val="0062143B"/>
    <w:rsid w:val="00623962"/>
    <w:rsid w:val="00645722"/>
    <w:rsid w:val="00662FEE"/>
    <w:rsid w:val="006930B6"/>
    <w:rsid w:val="006A1115"/>
    <w:rsid w:val="006A3CA6"/>
    <w:rsid w:val="006A68E7"/>
    <w:rsid w:val="006A7089"/>
    <w:rsid w:val="006B7703"/>
    <w:rsid w:val="006C0C21"/>
    <w:rsid w:val="006C1AB8"/>
    <w:rsid w:val="006E6C74"/>
    <w:rsid w:val="006F5594"/>
    <w:rsid w:val="006F5B61"/>
    <w:rsid w:val="006F693E"/>
    <w:rsid w:val="00707DD1"/>
    <w:rsid w:val="00726815"/>
    <w:rsid w:val="0073047B"/>
    <w:rsid w:val="00730A8B"/>
    <w:rsid w:val="00746EC2"/>
    <w:rsid w:val="00756452"/>
    <w:rsid w:val="007760F7"/>
    <w:rsid w:val="007808C1"/>
    <w:rsid w:val="00790FD7"/>
    <w:rsid w:val="00792584"/>
    <w:rsid w:val="00796E2E"/>
    <w:rsid w:val="007B2055"/>
    <w:rsid w:val="007B7167"/>
    <w:rsid w:val="007D267F"/>
    <w:rsid w:val="007D28D3"/>
    <w:rsid w:val="007D7DED"/>
    <w:rsid w:val="007E31E6"/>
    <w:rsid w:val="007E79C4"/>
    <w:rsid w:val="007F569A"/>
    <w:rsid w:val="007F6769"/>
    <w:rsid w:val="0080209D"/>
    <w:rsid w:val="00811C08"/>
    <w:rsid w:val="0082035B"/>
    <w:rsid w:val="008308E8"/>
    <w:rsid w:val="0083415C"/>
    <w:rsid w:val="00842A5D"/>
    <w:rsid w:val="008452C7"/>
    <w:rsid w:val="00845C7C"/>
    <w:rsid w:val="008525FB"/>
    <w:rsid w:val="00867E03"/>
    <w:rsid w:val="00893BF6"/>
    <w:rsid w:val="008970EE"/>
    <w:rsid w:val="008A6762"/>
    <w:rsid w:val="008B1037"/>
    <w:rsid w:val="008D5898"/>
    <w:rsid w:val="008E0AA4"/>
    <w:rsid w:val="008E6439"/>
    <w:rsid w:val="008F28C0"/>
    <w:rsid w:val="008F7EFE"/>
    <w:rsid w:val="00901945"/>
    <w:rsid w:val="0090718B"/>
    <w:rsid w:val="0091192F"/>
    <w:rsid w:val="00917AB9"/>
    <w:rsid w:val="00926C1A"/>
    <w:rsid w:val="00930A1D"/>
    <w:rsid w:val="009445FC"/>
    <w:rsid w:val="00951CC5"/>
    <w:rsid w:val="00956868"/>
    <w:rsid w:val="00971557"/>
    <w:rsid w:val="00975069"/>
    <w:rsid w:val="009B1072"/>
    <w:rsid w:val="009C3106"/>
    <w:rsid w:val="009C5FE4"/>
    <w:rsid w:val="009C729D"/>
    <w:rsid w:val="009D547E"/>
    <w:rsid w:val="009D55EC"/>
    <w:rsid w:val="009D66F8"/>
    <w:rsid w:val="009D7CAD"/>
    <w:rsid w:val="009E0A92"/>
    <w:rsid w:val="009E1186"/>
    <w:rsid w:val="009E4047"/>
    <w:rsid w:val="00A04651"/>
    <w:rsid w:val="00A05694"/>
    <w:rsid w:val="00A074F9"/>
    <w:rsid w:val="00A1628D"/>
    <w:rsid w:val="00A24C8A"/>
    <w:rsid w:val="00A27352"/>
    <w:rsid w:val="00A30825"/>
    <w:rsid w:val="00A422C9"/>
    <w:rsid w:val="00A52D0F"/>
    <w:rsid w:val="00A6240B"/>
    <w:rsid w:val="00A62E09"/>
    <w:rsid w:val="00A6363F"/>
    <w:rsid w:val="00A64F81"/>
    <w:rsid w:val="00A92FA3"/>
    <w:rsid w:val="00AA4A97"/>
    <w:rsid w:val="00AB3CFD"/>
    <w:rsid w:val="00AC3147"/>
    <w:rsid w:val="00AC473D"/>
    <w:rsid w:val="00AC5908"/>
    <w:rsid w:val="00AC74F3"/>
    <w:rsid w:val="00AD1DFE"/>
    <w:rsid w:val="00AD1E78"/>
    <w:rsid w:val="00AE1477"/>
    <w:rsid w:val="00AE2010"/>
    <w:rsid w:val="00AF0AF2"/>
    <w:rsid w:val="00AF2607"/>
    <w:rsid w:val="00AF7326"/>
    <w:rsid w:val="00B1335B"/>
    <w:rsid w:val="00B16A30"/>
    <w:rsid w:val="00B27A32"/>
    <w:rsid w:val="00B32CC5"/>
    <w:rsid w:val="00B33BC0"/>
    <w:rsid w:val="00B37337"/>
    <w:rsid w:val="00B51438"/>
    <w:rsid w:val="00B5427C"/>
    <w:rsid w:val="00B55945"/>
    <w:rsid w:val="00B61DAE"/>
    <w:rsid w:val="00B730DC"/>
    <w:rsid w:val="00B85D6E"/>
    <w:rsid w:val="00B85EB0"/>
    <w:rsid w:val="00B90DEC"/>
    <w:rsid w:val="00B9199A"/>
    <w:rsid w:val="00BA3697"/>
    <w:rsid w:val="00BA3C50"/>
    <w:rsid w:val="00BA71E8"/>
    <w:rsid w:val="00BA7570"/>
    <w:rsid w:val="00BD449F"/>
    <w:rsid w:val="00BD54CA"/>
    <w:rsid w:val="00BD78DC"/>
    <w:rsid w:val="00BE3A64"/>
    <w:rsid w:val="00BF7599"/>
    <w:rsid w:val="00C03B91"/>
    <w:rsid w:val="00C0645F"/>
    <w:rsid w:val="00C06DA5"/>
    <w:rsid w:val="00C17C93"/>
    <w:rsid w:val="00C261F7"/>
    <w:rsid w:val="00C27ED6"/>
    <w:rsid w:val="00C3688A"/>
    <w:rsid w:val="00C415BD"/>
    <w:rsid w:val="00C47870"/>
    <w:rsid w:val="00C547F1"/>
    <w:rsid w:val="00C62615"/>
    <w:rsid w:val="00C63184"/>
    <w:rsid w:val="00C706F7"/>
    <w:rsid w:val="00C750BB"/>
    <w:rsid w:val="00C76DF8"/>
    <w:rsid w:val="00C91204"/>
    <w:rsid w:val="00CA15C8"/>
    <w:rsid w:val="00CB4107"/>
    <w:rsid w:val="00CC1EAE"/>
    <w:rsid w:val="00CD7C07"/>
    <w:rsid w:val="00CE7002"/>
    <w:rsid w:val="00CF3944"/>
    <w:rsid w:val="00CF63FC"/>
    <w:rsid w:val="00CF6A32"/>
    <w:rsid w:val="00D03342"/>
    <w:rsid w:val="00D033AA"/>
    <w:rsid w:val="00D14231"/>
    <w:rsid w:val="00D156AB"/>
    <w:rsid w:val="00D161DC"/>
    <w:rsid w:val="00D212DB"/>
    <w:rsid w:val="00D2788A"/>
    <w:rsid w:val="00D46C78"/>
    <w:rsid w:val="00D51191"/>
    <w:rsid w:val="00D74A7B"/>
    <w:rsid w:val="00D75A3F"/>
    <w:rsid w:val="00D7618D"/>
    <w:rsid w:val="00D819E9"/>
    <w:rsid w:val="00D81EE0"/>
    <w:rsid w:val="00D82024"/>
    <w:rsid w:val="00D94A94"/>
    <w:rsid w:val="00DC5901"/>
    <w:rsid w:val="00DD4F7B"/>
    <w:rsid w:val="00DE06C5"/>
    <w:rsid w:val="00DE3522"/>
    <w:rsid w:val="00DE7DD3"/>
    <w:rsid w:val="00E0721A"/>
    <w:rsid w:val="00E1740F"/>
    <w:rsid w:val="00E31A5B"/>
    <w:rsid w:val="00E3382D"/>
    <w:rsid w:val="00E36E12"/>
    <w:rsid w:val="00E36F13"/>
    <w:rsid w:val="00E42E69"/>
    <w:rsid w:val="00E47C1B"/>
    <w:rsid w:val="00E54FD9"/>
    <w:rsid w:val="00E6083F"/>
    <w:rsid w:val="00E63FA0"/>
    <w:rsid w:val="00E72577"/>
    <w:rsid w:val="00E84F26"/>
    <w:rsid w:val="00E85F05"/>
    <w:rsid w:val="00E943DE"/>
    <w:rsid w:val="00EA40F9"/>
    <w:rsid w:val="00EA41E7"/>
    <w:rsid w:val="00EA42BE"/>
    <w:rsid w:val="00EA453D"/>
    <w:rsid w:val="00EA4BC1"/>
    <w:rsid w:val="00EB50A9"/>
    <w:rsid w:val="00EC2973"/>
    <w:rsid w:val="00EC4832"/>
    <w:rsid w:val="00EC5A23"/>
    <w:rsid w:val="00ED77F1"/>
    <w:rsid w:val="00EE2DCD"/>
    <w:rsid w:val="00EE69C9"/>
    <w:rsid w:val="00EF21B6"/>
    <w:rsid w:val="00EF72DA"/>
    <w:rsid w:val="00F0103F"/>
    <w:rsid w:val="00F011A8"/>
    <w:rsid w:val="00F13556"/>
    <w:rsid w:val="00F26A26"/>
    <w:rsid w:val="00F27BB0"/>
    <w:rsid w:val="00F300CD"/>
    <w:rsid w:val="00F31F8C"/>
    <w:rsid w:val="00F457AE"/>
    <w:rsid w:val="00F65A8F"/>
    <w:rsid w:val="00F74FBB"/>
    <w:rsid w:val="00F7561B"/>
    <w:rsid w:val="00F80F67"/>
    <w:rsid w:val="00F84CF4"/>
    <w:rsid w:val="00F93DAB"/>
    <w:rsid w:val="00FA3F1B"/>
    <w:rsid w:val="00FE66D4"/>
    <w:rsid w:val="00FE75ED"/>
    <w:rsid w:val="00FF310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A13E7FD"/>
  <w15:docId w15:val="{B7B7F507-B26D-4848-A93D-4AE7C22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8" w:defSemiHidden="0" w:defUnhideWhenUsed="0" w:defQFormat="0" w:count="372">
    <w:lsdException w:name="Normal" w:uiPriority="0" w:qFormat="1"/>
    <w:lsdException w:name="heading 1" w:uiPriority="9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A3697"/>
    <w:pPr>
      <w:adjustRightInd w:val="0"/>
      <w:snapToGrid w:val="0"/>
      <w:spacing w:line="240" w:lineRule="atLeast"/>
    </w:pPr>
    <w:rPr>
      <w:rFonts w:asciiTheme="minorHAnsi" w:hAnsiTheme="minorHAnsi"/>
      <w:lang w:val="en-AU" w:eastAsia="ja-JP"/>
    </w:rPr>
  </w:style>
  <w:style w:type="paragraph" w:styleId="Heading1">
    <w:name w:val="heading 1"/>
    <w:basedOn w:val="Normal"/>
    <w:next w:val="Normal"/>
    <w:link w:val="Heading1Char"/>
    <w:uiPriority w:val="99"/>
    <w:qFormat/>
    <w:rsid w:val="00232D70"/>
    <w:pPr>
      <w:keepNext/>
      <w:outlineLvl w:val="0"/>
    </w:pPr>
    <w:rPr>
      <w:rFonts w:asciiTheme="majorHAnsi" w:hAnsiTheme="majorHAnsi" w:cs="Arial"/>
      <w:b/>
      <w:bCs/>
      <w:sz w:val="28"/>
    </w:rPr>
  </w:style>
  <w:style w:type="paragraph" w:styleId="Heading2">
    <w:name w:val="heading 2"/>
    <w:basedOn w:val="Normal"/>
    <w:next w:val="Normal"/>
    <w:uiPriority w:val="1"/>
    <w:qFormat/>
    <w:rsid w:val="00232D70"/>
    <w:pPr>
      <w:keepNext/>
      <w:outlineLvl w:val="1"/>
    </w:pPr>
    <w:rPr>
      <w:rFonts w:asciiTheme="majorHAnsi" w:hAnsiTheme="majorHAnsi" w:cs="Arial"/>
      <w:b/>
      <w:bCs/>
      <w:iCs/>
      <w:sz w:val="24"/>
    </w:rPr>
  </w:style>
  <w:style w:type="paragraph" w:styleId="Heading3">
    <w:name w:val="heading 3"/>
    <w:basedOn w:val="Normal"/>
    <w:next w:val="Normal"/>
    <w:uiPriority w:val="1"/>
    <w:qFormat/>
    <w:rsid w:val="00232D70"/>
    <w:pPr>
      <w:keepNext/>
      <w:outlineLvl w:val="2"/>
    </w:pPr>
    <w:rPr>
      <w:rFonts w:asciiTheme="majorHAnsi" w:hAnsiTheme="majorHAnsi" w:cs="Arial"/>
      <w:bCs/>
      <w:i/>
      <w:sz w:val="22"/>
    </w:rPr>
  </w:style>
  <w:style w:type="paragraph" w:styleId="Heading4">
    <w:name w:val="heading 4"/>
    <w:basedOn w:val="Normal"/>
    <w:next w:val="Normal"/>
    <w:link w:val="Heading4Char"/>
    <w:uiPriority w:val="1"/>
    <w:semiHidden/>
    <w:qFormat/>
    <w:rsid w:val="00BD449F"/>
    <w:pPr>
      <w:keepNext/>
      <w:keepLines/>
      <w:spacing w:before="200"/>
      <w:outlineLvl w:val="3"/>
    </w:pPr>
    <w:rPr>
      <w:rFonts w:asciiTheme="majorHAnsi" w:eastAsiaTheme="majorEastAsia" w:hAnsiTheme="majorHAnsi" w:cstheme="majorBidi"/>
      <w:b/>
      <w:bCs/>
      <w:i/>
      <w:iCs/>
      <w:color w:val="00B8BD" w:themeColor="accent1"/>
    </w:rPr>
  </w:style>
  <w:style w:type="paragraph" w:styleId="Heading5">
    <w:name w:val="heading 5"/>
    <w:basedOn w:val="Normal"/>
    <w:next w:val="Normal"/>
    <w:link w:val="Heading5Char"/>
    <w:uiPriority w:val="1"/>
    <w:semiHidden/>
    <w:qFormat/>
    <w:rsid w:val="00BD449F"/>
    <w:pPr>
      <w:keepNext/>
      <w:keepLines/>
      <w:spacing w:before="200"/>
      <w:outlineLvl w:val="4"/>
    </w:pPr>
    <w:rPr>
      <w:rFonts w:asciiTheme="majorHAnsi" w:eastAsiaTheme="majorEastAsia" w:hAnsiTheme="majorHAnsi" w:cstheme="majorBidi"/>
      <w:color w:val="005B5E" w:themeColor="accent1" w:themeShade="7F"/>
    </w:rPr>
  </w:style>
  <w:style w:type="paragraph" w:styleId="Heading6">
    <w:name w:val="heading 6"/>
    <w:basedOn w:val="Normal"/>
    <w:next w:val="Normal"/>
    <w:link w:val="Heading6Char"/>
    <w:uiPriority w:val="1"/>
    <w:semiHidden/>
    <w:qFormat/>
    <w:rsid w:val="00BD449F"/>
    <w:pPr>
      <w:keepNext/>
      <w:keepLines/>
      <w:spacing w:before="200"/>
      <w:outlineLvl w:val="5"/>
    </w:pPr>
    <w:rPr>
      <w:rFonts w:asciiTheme="majorHAnsi" w:eastAsiaTheme="majorEastAsia" w:hAnsiTheme="majorHAnsi" w:cstheme="majorBidi"/>
      <w:i/>
      <w:iCs/>
      <w:color w:val="005B5E" w:themeColor="accent1" w:themeShade="7F"/>
    </w:rPr>
  </w:style>
  <w:style w:type="paragraph" w:styleId="Heading7">
    <w:name w:val="heading 7"/>
    <w:basedOn w:val="Normal"/>
    <w:next w:val="Normal"/>
    <w:link w:val="Heading7Char"/>
    <w:uiPriority w:val="1"/>
    <w:semiHidden/>
    <w:qFormat/>
    <w:rsid w:val="00BD44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D449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D449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BD449F"/>
    <w:pPr>
      <w:numPr>
        <w:numId w:val="11"/>
      </w:numPr>
    </w:pPr>
  </w:style>
  <w:style w:type="table" w:styleId="TableGrid">
    <w:name w:val="Table Grid"/>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paragraph" w:styleId="Header">
    <w:name w:val="header"/>
    <w:basedOn w:val="Normal"/>
    <w:link w:val="HeaderChar"/>
    <w:uiPriority w:val="9"/>
    <w:rsid w:val="00AC473D"/>
    <w:pPr>
      <w:spacing w:after="60"/>
    </w:pPr>
    <w:rPr>
      <w:color w:val="867E78"/>
      <w:sz w:val="18"/>
    </w:rPr>
  </w:style>
  <w:style w:type="paragraph" w:styleId="Footer">
    <w:name w:val="footer"/>
    <w:basedOn w:val="Normal"/>
    <w:link w:val="FooterChar"/>
    <w:uiPriority w:val="99"/>
    <w:rsid w:val="007F569A"/>
    <w:pPr>
      <w:spacing w:line="144" w:lineRule="atLeast"/>
    </w:pPr>
    <w:rPr>
      <w:color w:val="867E78"/>
      <w:sz w:val="12"/>
      <w:szCs w:val="14"/>
    </w:rPr>
  </w:style>
  <w:style w:type="character" w:styleId="PageNumber">
    <w:name w:val="page number"/>
    <w:basedOn w:val="DefaultParagraphFont"/>
    <w:uiPriority w:val="97"/>
    <w:semiHidden/>
    <w:rsid w:val="00BD449F"/>
    <w:rPr>
      <w:rFonts w:asciiTheme="minorHAnsi" w:hAnsiTheme="minorHAnsi"/>
      <w:sz w:val="16"/>
    </w:rPr>
  </w:style>
  <w:style w:type="numbering" w:styleId="111111">
    <w:name w:val="Outline List 2"/>
    <w:basedOn w:val="NoList"/>
    <w:uiPriority w:val="97"/>
    <w:semiHidden/>
    <w:rsid w:val="00BD449F"/>
    <w:pPr>
      <w:numPr>
        <w:numId w:val="12"/>
      </w:numPr>
    </w:pPr>
  </w:style>
  <w:style w:type="numbering" w:styleId="1ai">
    <w:name w:val="Outline List 1"/>
    <w:basedOn w:val="NoList"/>
    <w:uiPriority w:val="97"/>
    <w:semiHidden/>
    <w:rsid w:val="00BD449F"/>
    <w:pPr>
      <w:numPr>
        <w:numId w:val="13"/>
      </w:numPr>
    </w:pPr>
  </w:style>
  <w:style w:type="character" w:customStyle="1" w:styleId="Heading4Char">
    <w:name w:val="Heading 4 Char"/>
    <w:basedOn w:val="DefaultParagraphFont"/>
    <w:link w:val="Heading4"/>
    <w:uiPriority w:val="1"/>
    <w:semiHidden/>
    <w:rsid w:val="00BD449F"/>
    <w:rPr>
      <w:rFonts w:asciiTheme="majorHAnsi" w:eastAsiaTheme="majorEastAsia" w:hAnsiTheme="majorHAnsi" w:cstheme="majorBidi"/>
      <w:b/>
      <w:bCs/>
      <w:i/>
      <w:iCs/>
      <w:color w:val="00B8BD" w:themeColor="accent1"/>
      <w:lang w:val="en-AU" w:eastAsia="ja-JP"/>
    </w:rPr>
  </w:style>
  <w:style w:type="character" w:customStyle="1" w:styleId="Heading5Char">
    <w:name w:val="Heading 5 Char"/>
    <w:basedOn w:val="DefaultParagraphFont"/>
    <w:link w:val="Heading5"/>
    <w:uiPriority w:val="1"/>
    <w:semiHidden/>
    <w:rsid w:val="00BD449F"/>
    <w:rPr>
      <w:rFonts w:asciiTheme="majorHAnsi" w:eastAsiaTheme="majorEastAsia" w:hAnsiTheme="majorHAnsi" w:cstheme="majorBidi"/>
      <w:color w:val="005B5E" w:themeColor="accent1" w:themeShade="7F"/>
      <w:lang w:val="en-AU" w:eastAsia="ja-JP"/>
    </w:rPr>
  </w:style>
  <w:style w:type="character" w:customStyle="1" w:styleId="Heading6Char">
    <w:name w:val="Heading 6 Char"/>
    <w:basedOn w:val="DefaultParagraphFont"/>
    <w:link w:val="Heading6"/>
    <w:uiPriority w:val="1"/>
    <w:semiHidden/>
    <w:rsid w:val="00BD449F"/>
    <w:rPr>
      <w:rFonts w:asciiTheme="majorHAnsi" w:eastAsiaTheme="majorEastAsia" w:hAnsiTheme="majorHAnsi" w:cstheme="majorBidi"/>
      <w:i/>
      <w:iCs/>
      <w:color w:val="005B5E" w:themeColor="accent1" w:themeShade="7F"/>
      <w:lang w:val="en-AU" w:eastAsia="ja-JP"/>
    </w:rPr>
  </w:style>
  <w:style w:type="character" w:customStyle="1" w:styleId="Heading7Char">
    <w:name w:val="Heading 7 Char"/>
    <w:basedOn w:val="DefaultParagraphFont"/>
    <w:link w:val="Heading7"/>
    <w:uiPriority w:val="1"/>
    <w:semiHidden/>
    <w:rsid w:val="00BD449F"/>
    <w:rPr>
      <w:rFonts w:asciiTheme="majorHAnsi" w:eastAsiaTheme="majorEastAsia" w:hAnsiTheme="majorHAnsi" w:cstheme="majorBidi"/>
      <w:i/>
      <w:iCs/>
      <w:color w:val="404040" w:themeColor="text1" w:themeTint="BF"/>
      <w:lang w:val="en-AU" w:eastAsia="ja-JP"/>
    </w:rPr>
  </w:style>
  <w:style w:type="character" w:customStyle="1" w:styleId="Heading8Char">
    <w:name w:val="Heading 8 Char"/>
    <w:basedOn w:val="DefaultParagraphFont"/>
    <w:link w:val="Heading8"/>
    <w:uiPriority w:val="1"/>
    <w:semiHidden/>
    <w:rsid w:val="00BD449F"/>
    <w:rPr>
      <w:rFonts w:asciiTheme="majorHAnsi" w:eastAsiaTheme="majorEastAsia" w:hAnsiTheme="majorHAnsi" w:cstheme="majorBidi"/>
      <w:color w:val="404040" w:themeColor="text1" w:themeTint="BF"/>
      <w:lang w:val="en-AU" w:eastAsia="ja-JP"/>
    </w:rPr>
  </w:style>
  <w:style w:type="character" w:customStyle="1" w:styleId="Heading9Char">
    <w:name w:val="Heading 9 Char"/>
    <w:basedOn w:val="DefaultParagraphFont"/>
    <w:link w:val="Heading9"/>
    <w:uiPriority w:val="1"/>
    <w:semiHidden/>
    <w:rsid w:val="00BD449F"/>
    <w:rPr>
      <w:rFonts w:asciiTheme="majorHAnsi" w:eastAsiaTheme="majorEastAsia" w:hAnsiTheme="majorHAnsi" w:cstheme="majorBidi"/>
      <w:i/>
      <w:iCs/>
      <w:color w:val="404040" w:themeColor="text1" w:themeTint="BF"/>
      <w:lang w:val="en-AU" w:eastAsia="ja-JP"/>
    </w:rPr>
  </w:style>
  <w:style w:type="numbering" w:styleId="ArticleSection">
    <w:name w:val="Outline List 3"/>
    <w:basedOn w:val="NoList"/>
    <w:uiPriority w:val="97"/>
    <w:semiHidden/>
    <w:rsid w:val="00BD449F"/>
    <w:pPr>
      <w:numPr>
        <w:numId w:val="14"/>
      </w:numPr>
    </w:pPr>
  </w:style>
  <w:style w:type="paragraph" w:styleId="BalloonText">
    <w:name w:val="Balloon Text"/>
    <w:basedOn w:val="Normal"/>
    <w:link w:val="BalloonTextChar"/>
    <w:uiPriority w:val="97"/>
    <w:semiHidden/>
    <w:rsid w:val="00BD449F"/>
    <w:pPr>
      <w:spacing w:line="240" w:lineRule="auto"/>
    </w:pPr>
    <w:rPr>
      <w:rFonts w:cs="Tahoma"/>
      <w:sz w:val="16"/>
      <w:szCs w:val="16"/>
    </w:rPr>
  </w:style>
  <w:style w:type="character" w:customStyle="1" w:styleId="BalloonTextChar">
    <w:name w:val="Balloon Text Char"/>
    <w:basedOn w:val="DefaultParagraphFont"/>
    <w:link w:val="BalloonText"/>
    <w:rsid w:val="00BD449F"/>
    <w:rPr>
      <w:rFonts w:asciiTheme="minorHAnsi" w:hAnsiTheme="minorHAnsi" w:cs="Tahoma"/>
      <w:sz w:val="16"/>
      <w:szCs w:val="16"/>
      <w:lang w:val="en-AU" w:eastAsia="ja-JP"/>
    </w:rPr>
  </w:style>
  <w:style w:type="paragraph" w:styleId="Bibliography">
    <w:name w:val="Bibliography"/>
    <w:basedOn w:val="Normal"/>
    <w:next w:val="Normal"/>
    <w:uiPriority w:val="97"/>
    <w:semiHidden/>
    <w:unhideWhenUsed/>
    <w:rsid w:val="00BD449F"/>
  </w:style>
  <w:style w:type="paragraph" w:styleId="BlockText">
    <w:name w:val="Block Text"/>
    <w:basedOn w:val="Normal"/>
    <w:uiPriority w:val="97"/>
    <w:semiHidden/>
    <w:rsid w:val="00BD449F"/>
    <w:pPr>
      <w:pBdr>
        <w:top w:val="single" w:sz="2" w:space="10" w:color="00B8BD" w:themeColor="accent1" w:shadow="1" w:frame="1"/>
        <w:left w:val="single" w:sz="2" w:space="10" w:color="00B8BD" w:themeColor="accent1" w:shadow="1" w:frame="1"/>
        <w:bottom w:val="single" w:sz="2" w:space="10" w:color="00B8BD" w:themeColor="accent1" w:shadow="1" w:frame="1"/>
        <w:right w:val="single" w:sz="2" w:space="10" w:color="00B8BD" w:themeColor="accent1" w:shadow="1" w:frame="1"/>
      </w:pBdr>
      <w:ind w:left="1152" w:right="1152"/>
    </w:pPr>
    <w:rPr>
      <w:rFonts w:eastAsiaTheme="minorEastAsia" w:cstheme="minorBidi"/>
      <w:i/>
      <w:iCs/>
      <w:color w:val="00B8BD" w:themeColor="accent1"/>
    </w:rPr>
  </w:style>
  <w:style w:type="paragraph" w:styleId="BodyText">
    <w:name w:val="Body Text"/>
    <w:basedOn w:val="Normal"/>
    <w:link w:val="BodyTextChar"/>
    <w:uiPriority w:val="97"/>
    <w:semiHidden/>
    <w:rsid w:val="00BD449F"/>
    <w:pPr>
      <w:spacing w:after="120"/>
    </w:pPr>
  </w:style>
  <w:style w:type="character" w:customStyle="1" w:styleId="BodyTextChar">
    <w:name w:val="Body Text Char"/>
    <w:basedOn w:val="DefaultParagraphFont"/>
    <w:link w:val="BodyText"/>
    <w:rsid w:val="00BD449F"/>
    <w:rPr>
      <w:rFonts w:asciiTheme="minorHAnsi" w:hAnsiTheme="minorHAnsi"/>
      <w:lang w:val="en-AU" w:eastAsia="ja-JP"/>
    </w:rPr>
  </w:style>
  <w:style w:type="paragraph" w:styleId="BodyText2">
    <w:name w:val="Body Text 2"/>
    <w:basedOn w:val="Normal"/>
    <w:link w:val="BodyText2Char"/>
    <w:uiPriority w:val="97"/>
    <w:semiHidden/>
    <w:rsid w:val="00BD449F"/>
    <w:pPr>
      <w:spacing w:after="120" w:line="480" w:lineRule="auto"/>
    </w:pPr>
  </w:style>
  <w:style w:type="character" w:customStyle="1" w:styleId="BodyText2Char">
    <w:name w:val="Body Text 2 Char"/>
    <w:basedOn w:val="DefaultParagraphFont"/>
    <w:link w:val="BodyText2"/>
    <w:rsid w:val="00BD449F"/>
    <w:rPr>
      <w:rFonts w:asciiTheme="minorHAnsi" w:hAnsiTheme="minorHAnsi"/>
      <w:lang w:val="en-AU" w:eastAsia="ja-JP"/>
    </w:rPr>
  </w:style>
  <w:style w:type="paragraph" w:styleId="BodyText3">
    <w:name w:val="Body Text 3"/>
    <w:basedOn w:val="Normal"/>
    <w:link w:val="BodyText3Char"/>
    <w:uiPriority w:val="97"/>
    <w:semiHidden/>
    <w:rsid w:val="00BD449F"/>
    <w:pPr>
      <w:spacing w:after="120"/>
    </w:pPr>
    <w:rPr>
      <w:sz w:val="16"/>
      <w:szCs w:val="16"/>
    </w:rPr>
  </w:style>
  <w:style w:type="character" w:customStyle="1" w:styleId="BodyText3Char">
    <w:name w:val="Body Text 3 Char"/>
    <w:basedOn w:val="DefaultParagraphFont"/>
    <w:link w:val="BodyText3"/>
    <w:rsid w:val="00BD449F"/>
    <w:rPr>
      <w:rFonts w:asciiTheme="minorHAnsi" w:hAnsiTheme="minorHAnsi"/>
      <w:sz w:val="16"/>
      <w:szCs w:val="16"/>
      <w:lang w:val="en-AU" w:eastAsia="ja-JP"/>
    </w:rPr>
  </w:style>
  <w:style w:type="paragraph" w:styleId="BodyTextFirstIndent">
    <w:name w:val="Body Text First Indent"/>
    <w:basedOn w:val="BodyText"/>
    <w:link w:val="BodyTextFirstIndentChar"/>
    <w:uiPriority w:val="97"/>
    <w:semiHidden/>
    <w:rsid w:val="00BD449F"/>
    <w:pPr>
      <w:spacing w:after="0"/>
      <w:ind w:firstLine="360"/>
    </w:pPr>
  </w:style>
  <w:style w:type="character" w:customStyle="1" w:styleId="BodyTextFirstIndentChar">
    <w:name w:val="Body Text First Indent Char"/>
    <w:basedOn w:val="BodyTextChar"/>
    <w:link w:val="BodyTextFirstIndent"/>
    <w:rsid w:val="00BD449F"/>
    <w:rPr>
      <w:rFonts w:asciiTheme="minorHAnsi" w:hAnsiTheme="minorHAnsi"/>
      <w:lang w:val="en-AU" w:eastAsia="ja-JP"/>
    </w:rPr>
  </w:style>
  <w:style w:type="paragraph" w:styleId="BodyTextIndent">
    <w:name w:val="Body Text Indent"/>
    <w:basedOn w:val="Normal"/>
    <w:link w:val="BodyTextIndentChar"/>
    <w:uiPriority w:val="97"/>
    <w:semiHidden/>
    <w:rsid w:val="00BD449F"/>
    <w:pPr>
      <w:spacing w:after="120"/>
      <w:ind w:left="283"/>
    </w:pPr>
  </w:style>
  <w:style w:type="character" w:customStyle="1" w:styleId="BodyTextIndentChar">
    <w:name w:val="Body Text Indent Char"/>
    <w:basedOn w:val="DefaultParagraphFont"/>
    <w:link w:val="BodyTextIndent"/>
    <w:rsid w:val="00BD449F"/>
    <w:rPr>
      <w:rFonts w:asciiTheme="minorHAnsi" w:hAnsiTheme="minorHAnsi"/>
      <w:lang w:val="en-AU" w:eastAsia="ja-JP"/>
    </w:rPr>
  </w:style>
  <w:style w:type="paragraph" w:styleId="BodyTextFirstIndent2">
    <w:name w:val="Body Text First Indent 2"/>
    <w:basedOn w:val="BodyTextIndent"/>
    <w:link w:val="BodyTextFirstIndent2Char"/>
    <w:uiPriority w:val="97"/>
    <w:semiHidden/>
    <w:rsid w:val="00BD449F"/>
    <w:pPr>
      <w:spacing w:after="0"/>
      <w:ind w:left="360" w:firstLine="360"/>
    </w:pPr>
  </w:style>
  <w:style w:type="character" w:customStyle="1" w:styleId="BodyTextFirstIndent2Char">
    <w:name w:val="Body Text First Indent 2 Char"/>
    <w:basedOn w:val="BodyTextIndentChar"/>
    <w:link w:val="BodyTextFirstIndent2"/>
    <w:rsid w:val="00BD449F"/>
    <w:rPr>
      <w:rFonts w:asciiTheme="minorHAnsi" w:hAnsiTheme="minorHAnsi"/>
      <w:lang w:val="en-AU" w:eastAsia="ja-JP"/>
    </w:rPr>
  </w:style>
  <w:style w:type="paragraph" w:styleId="BodyTextIndent2">
    <w:name w:val="Body Text Indent 2"/>
    <w:basedOn w:val="Normal"/>
    <w:link w:val="BodyTextIndent2Char"/>
    <w:uiPriority w:val="97"/>
    <w:semiHidden/>
    <w:rsid w:val="00BD449F"/>
    <w:pPr>
      <w:spacing w:after="120" w:line="480" w:lineRule="auto"/>
      <w:ind w:left="283"/>
    </w:pPr>
  </w:style>
  <w:style w:type="character" w:customStyle="1" w:styleId="BodyTextIndent2Char">
    <w:name w:val="Body Text Indent 2 Char"/>
    <w:basedOn w:val="DefaultParagraphFont"/>
    <w:link w:val="BodyTextIndent2"/>
    <w:rsid w:val="00BD449F"/>
    <w:rPr>
      <w:rFonts w:asciiTheme="minorHAnsi" w:hAnsiTheme="minorHAnsi"/>
      <w:lang w:val="en-AU" w:eastAsia="ja-JP"/>
    </w:rPr>
  </w:style>
  <w:style w:type="paragraph" w:styleId="BodyTextIndent3">
    <w:name w:val="Body Text Indent 3"/>
    <w:basedOn w:val="Normal"/>
    <w:link w:val="BodyTextIndent3Char"/>
    <w:uiPriority w:val="97"/>
    <w:semiHidden/>
    <w:rsid w:val="00BD449F"/>
    <w:pPr>
      <w:spacing w:after="120"/>
      <w:ind w:left="283"/>
    </w:pPr>
    <w:rPr>
      <w:sz w:val="16"/>
      <w:szCs w:val="16"/>
    </w:rPr>
  </w:style>
  <w:style w:type="character" w:customStyle="1" w:styleId="BodyTextIndent3Char">
    <w:name w:val="Body Text Indent 3 Char"/>
    <w:basedOn w:val="DefaultParagraphFont"/>
    <w:link w:val="BodyTextIndent3"/>
    <w:rsid w:val="00BD449F"/>
    <w:rPr>
      <w:rFonts w:asciiTheme="minorHAnsi" w:hAnsiTheme="minorHAnsi"/>
      <w:sz w:val="16"/>
      <w:szCs w:val="16"/>
      <w:lang w:val="en-AU" w:eastAsia="ja-JP"/>
    </w:rPr>
  </w:style>
  <w:style w:type="character" w:styleId="BookTitle">
    <w:name w:val="Book Title"/>
    <w:basedOn w:val="DefaultParagraphFont"/>
    <w:uiPriority w:val="97"/>
    <w:semiHidden/>
    <w:rsid w:val="00BD449F"/>
    <w:rPr>
      <w:rFonts w:asciiTheme="minorHAnsi" w:hAnsiTheme="minorHAnsi"/>
      <w:b/>
      <w:bCs/>
      <w:smallCaps/>
      <w:spacing w:val="5"/>
    </w:rPr>
  </w:style>
  <w:style w:type="paragraph" w:styleId="Caption">
    <w:name w:val="caption"/>
    <w:basedOn w:val="Normal"/>
    <w:next w:val="Normal"/>
    <w:uiPriority w:val="97"/>
    <w:semiHidden/>
    <w:unhideWhenUsed/>
    <w:qFormat/>
    <w:rsid w:val="00BD449F"/>
    <w:pPr>
      <w:spacing w:after="200" w:line="240" w:lineRule="auto"/>
    </w:pPr>
    <w:rPr>
      <w:b/>
      <w:bCs/>
      <w:color w:val="00B8BD" w:themeColor="accent1"/>
      <w:sz w:val="18"/>
      <w:szCs w:val="18"/>
    </w:rPr>
  </w:style>
  <w:style w:type="paragraph" w:styleId="Closing">
    <w:name w:val="Closing"/>
    <w:basedOn w:val="Normal"/>
    <w:link w:val="ClosingChar"/>
    <w:uiPriority w:val="97"/>
    <w:semiHidden/>
    <w:rsid w:val="00BD449F"/>
    <w:pPr>
      <w:spacing w:line="240" w:lineRule="auto"/>
      <w:ind w:left="4252"/>
    </w:pPr>
  </w:style>
  <w:style w:type="character" w:customStyle="1" w:styleId="ClosingChar">
    <w:name w:val="Closing Char"/>
    <w:basedOn w:val="DefaultParagraphFont"/>
    <w:link w:val="Closing"/>
    <w:rsid w:val="00BD449F"/>
    <w:rPr>
      <w:rFonts w:asciiTheme="minorHAnsi" w:hAnsiTheme="minorHAnsi"/>
      <w:lang w:val="en-AU" w:eastAsia="ja-JP"/>
    </w:rPr>
  </w:style>
  <w:style w:type="table" w:styleId="ColorfulGrid">
    <w:name w:val="Colorful Grid"/>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BEFD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7EFBFF" w:themeFill="accent1" w:themeFillTint="66"/>
      </w:tcPr>
    </w:tblStylePr>
    <w:tblStylePr w:type="lastRow">
      <w:rPr>
        <w:b/>
        <w:bCs/>
        <w:color w:val="000000" w:themeColor="text1"/>
      </w:rPr>
      <w:tblPr/>
      <w:tcPr>
        <w:shd w:val="clear" w:color="auto" w:fill="7EFBFF" w:themeFill="accent1" w:themeFillTint="66"/>
      </w:tcPr>
    </w:tblStylePr>
    <w:tblStylePr w:type="firstCol">
      <w:rPr>
        <w:color w:val="FFFFFF" w:themeColor="background1"/>
      </w:rPr>
      <w:tblPr/>
      <w:tcPr>
        <w:shd w:val="clear" w:color="auto" w:fill="00898D" w:themeFill="accent1" w:themeFillShade="BF"/>
      </w:tcPr>
    </w:tblStylePr>
    <w:tblStylePr w:type="lastCol">
      <w:rPr>
        <w:color w:val="FFFFFF" w:themeColor="background1"/>
      </w:rPr>
      <w:tblPr/>
      <w:tcPr>
        <w:shd w:val="clear" w:color="auto" w:fill="00898D" w:themeFill="accent1" w:themeFillShade="BF"/>
      </w:tc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ColorfulGrid-Accent2">
    <w:name w:val="Colorful Grid Accent 2"/>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8F1D7" w:themeFill="accent2" w:themeFillTint="33"/>
      <w:tcMar>
        <w:top w:w="57" w:type="dxa"/>
        <w:left w:w="57" w:type="dxa"/>
        <w:bottom w:w="57" w:type="dxa"/>
        <w:right w:w="57" w:type="dxa"/>
      </w:tcMar>
    </w:tcPr>
    <w:tblStylePr w:type="firstRow">
      <w:rPr>
        <w:rFonts w:asciiTheme="majorHAnsi" w:hAnsiTheme="majorHAnsi"/>
        <w:b/>
        <w:bCs/>
      </w:rPr>
      <w:tblPr/>
      <w:tcPr>
        <w:shd w:val="clear" w:color="auto" w:fill="D1E4B0" w:themeFill="accent2" w:themeFillTint="66"/>
      </w:tcPr>
    </w:tblStylePr>
    <w:tblStylePr w:type="lastRow">
      <w:rPr>
        <w:b/>
        <w:bCs/>
        <w:color w:val="000000" w:themeColor="text1"/>
      </w:rPr>
      <w:tblPr/>
      <w:tcPr>
        <w:shd w:val="clear" w:color="auto" w:fill="D1E4B0" w:themeFill="accent2" w:themeFillTint="66"/>
      </w:tcPr>
    </w:tblStylePr>
    <w:tblStylePr w:type="firstCol">
      <w:rPr>
        <w:color w:val="FFFFFF" w:themeColor="background1"/>
      </w:rPr>
      <w:tblPr/>
      <w:tcPr>
        <w:shd w:val="clear" w:color="auto" w:fill="698A2F" w:themeFill="accent2" w:themeFillShade="BF"/>
      </w:tcPr>
    </w:tblStylePr>
    <w:tblStylePr w:type="lastCol">
      <w:rPr>
        <w:color w:val="FFFFFF" w:themeColor="background1"/>
      </w:rPr>
      <w:tblPr/>
      <w:tcPr>
        <w:shd w:val="clear" w:color="auto" w:fill="698A2F" w:themeFill="accent2" w:themeFillShade="BF"/>
      </w:tc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ColorfulGrid-Accent3">
    <w:name w:val="Colorful Grid Accent 3"/>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EC7E8" w:themeFill="accent3" w:themeFillTint="33"/>
      <w:tcMar>
        <w:top w:w="57" w:type="dxa"/>
        <w:left w:w="57" w:type="dxa"/>
        <w:bottom w:w="57" w:type="dxa"/>
        <w:right w:w="57" w:type="dxa"/>
      </w:tcMar>
    </w:tcPr>
    <w:tblStylePr w:type="firstRow">
      <w:rPr>
        <w:rFonts w:asciiTheme="majorHAnsi" w:hAnsiTheme="majorHAnsi"/>
        <w:b/>
        <w:bCs/>
      </w:rPr>
      <w:tblPr/>
      <w:tcPr>
        <w:shd w:val="clear" w:color="auto" w:fill="FD8FD2" w:themeFill="accent3" w:themeFillTint="66"/>
      </w:tcPr>
    </w:tblStylePr>
    <w:tblStylePr w:type="lastRow">
      <w:rPr>
        <w:b/>
        <w:bCs/>
        <w:color w:val="000000" w:themeColor="text1"/>
      </w:rPr>
      <w:tblPr/>
      <w:tcPr>
        <w:shd w:val="clear" w:color="auto" w:fill="FD8FD2" w:themeFill="accent3" w:themeFillTint="66"/>
      </w:tcPr>
    </w:tblStylePr>
    <w:tblStylePr w:type="firstCol">
      <w:rPr>
        <w:color w:val="FFFFFF" w:themeColor="background1"/>
      </w:rPr>
      <w:tblPr/>
      <w:tcPr>
        <w:shd w:val="clear" w:color="auto" w:fill="A70367" w:themeFill="accent3" w:themeFillShade="BF"/>
      </w:tcPr>
    </w:tblStylePr>
    <w:tblStylePr w:type="lastCol">
      <w:rPr>
        <w:color w:val="FFFFFF" w:themeColor="background1"/>
      </w:rPr>
      <w:tblPr/>
      <w:tcPr>
        <w:shd w:val="clear" w:color="auto" w:fill="A70367" w:themeFill="accent3" w:themeFillShade="BF"/>
      </w:tc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ColorfulGrid-Accent4">
    <w:name w:val="Colorful Grid Accent 4"/>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DEB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CD8AD" w:themeFill="accent4" w:themeFillTint="66"/>
      </w:tcPr>
    </w:tblStylePr>
    <w:tblStylePr w:type="lastRow">
      <w:rPr>
        <w:b/>
        <w:bCs/>
        <w:color w:val="000000" w:themeColor="text1"/>
      </w:rPr>
      <w:tblPr/>
      <w:tcPr>
        <w:shd w:val="clear" w:color="auto" w:fill="FCD8AD" w:themeFill="accent4" w:themeFillTint="66"/>
      </w:tcPr>
    </w:tblStylePr>
    <w:tblStylePr w:type="firstCol">
      <w:rPr>
        <w:color w:val="FFFFFF" w:themeColor="background1"/>
      </w:rPr>
      <w:tblPr/>
      <w:tcPr>
        <w:shd w:val="clear" w:color="auto" w:fill="D97A07" w:themeFill="accent4" w:themeFillShade="BF"/>
      </w:tcPr>
    </w:tblStylePr>
    <w:tblStylePr w:type="lastCol">
      <w:rPr>
        <w:color w:val="FFFFFF" w:themeColor="background1"/>
      </w:rPr>
      <w:tblPr/>
      <w:tcPr>
        <w:shd w:val="clear" w:color="auto" w:fill="D97A07" w:themeFill="accent4" w:themeFillShade="BF"/>
      </w:tc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ColorfulGrid-Accent5">
    <w:name w:val="Colorful Grid Accent 5"/>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E7DAEC" w:themeFill="accent5" w:themeFillTint="33"/>
      <w:tcMar>
        <w:top w:w="57" w:type="dxa"/>
        <w:left w:w="57" w:type="dxa"/>
        <w:bottom w:w="57" w:type="dxa"/>
        <w:right w:w="57" w:type="dxa"/>
      </w:tcMar>
    </w:tcPr>
    <w:tblStylePr w:type="firstRow">
      <w:rPr>
        <w:rFonts w:asciiTheme="majorHAnsi" w:hAnsiTheme="majorHAnsi"/>
        <w:b/>
        <w:bCs/>
      </w:rPr>
      <w:tblPr/>
      <w:tcPr>
        <w:shd w:val="clear" w:color="auto" w:fill="CFB6DA" w:themeFill="accent5" w:themeFillTint="66"/>
      </w:tcPr>
    </w:tblStylePr>
    <w:tblStylePr w:type="lastRow">
      <w:rPr>
        <w:b/>
        <w:bCs/>
        <w:color w:val="000000" w:themeColor="text1"/>
      </w:rPr>
      <w:tblPr/>
      <w:tcPr>
        <w:shd w:val="clear" w:color="auto" w:fill="CFB6DA" w:themeFill="accent5" w:themeFillTint="66"/>
      </w:tcPr>
    </w:tblStylePr>
    <w:tblStylePr w:type="firstCol">
      <w:rPr>
        <w:color w:val="FFFFFF" w:themeColor="background1"/>
      </w:rPr>
      <w:tblPr/>
      <w:tcPr>
        <w:shd w:val="clear" w:color="auto" w:fill="643C77" w:themeFill="accent5" w:themeFillShade="BF"/>
      </w:tcPr>
    </w:tblStylePr>
    <w:tblStylePr w:type="lastCol">
      <w:rPr>
        <w:color w:val="FFFFFF" w:themeColor="background1"/>
      </w:rPr>
      <w:tblPr/>
      <w:tcPr>
        <w:shd w:val="clear" w:color="auto" w:fill="643C77" w:themeFill="accent5" w:themeFillShade="BF"/>
      </w:tc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ColorfulGrid-Accent6">
    <w:name w:val="Colorful Grid Accent 6"/>
    <w:basedOn w:val="TableNormal"/>
    <w:uiPriority w:val="98"/>
    <w:rsid w:val="00BD449F"/>
    <w:rPr>
      <w:color w:val="000000" w:themeColor="text1"/>
    </w:rPr>
    <w:tblPr>
      <w:tblStyleRowBandSize w:val="1"/>
      <w:tblStyleColBandSize w:val="1"/>
      <w:tblBorders>
        <w:insideH w:val="single" w:sz="4" w:space="0" w:color="FFFFFF" w:themeColor="background1"/>
      </w:tblBorders>
    </w:tblPr>
    <w:tcPr>
      <w:shd w:val="clear" w:color="auto" w:fill="F9DBD5" w:themeFill="accent6" w:themeFillTint="33"/>
      <w:tcMar>
        <w:top w:w="57" w:type="dxa"/>
        <w:left w:w="57" w:type="dxa"/>
        <w:bottom w:w="57" w:type="dxa"/>
        <w:right w:w="57" w:type="dxa"/>
      </w:tcMar>
    </w:tcPr>
    <w:tblStylePr w:type="firstRow">
      <w:rPr>
        <w:rFonts w:asciiTheme="majorHAnsi" w:hAnsiTheme="majorHAnsi"/>
        <w:b/>
        <w:bCs/>
      </w:rPr>
      <w:tblPr/>
      <w:tcPr>
        <w:shd w:val="clear" w:color="auto" w:fill="F4B8AB" w:themeFill="accent6" w:themeFillTint="66"/>
      </w:tcPr>
    </w:tblStylePr>
    <w:tblStylePr w:type="lastRow">
      <w:rPr>
        <w:b/>
        <w:bCs/>
        <w:color w:val="000000" w:themeColor="text1"/>
      </w:rPr>
      <w:tblPr/>
      <w:tcPr>
        <w:shd w:val="clear" w:color="auto" w:fill="F4B8AB" w:themeFill="accent6" w:themeFillTint="66"/>
      </w:tcPr>
    </w:tblStylePr>
    <w:tblStylePr w:type="firstCol">
      <w:rPr>
        <w:color w:val="FFFFFF" w:themeColor="background1"/>
      </w:rPr>
      <w:tblPr/>
      <w:tcPr>
        <w:shd w:val="clear" w:color="auto" w:fill="B73217" w:themeFill="accent6" w:themeFillShade="BF"/>
      </w:tcPr>
    </w:tblStylePr>
    <w:tblStylePr w:type="lastCol">
      <w:rPr>
        <w:color w:val="FFFFFF" w:themeColor="background1"/>
      </w:rPr>
      <w:tblPr/>
      <w:tcPr>
        <w:shd w:val="clear" w:color="auto" w:fill="B73217" w:themeFill="accent6" w:themeFillShade="BF"/>
      </w:tc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ColorfulList">
    <w:name w:val="Colorful List"/>
    <w:basedOn w:val="TableNormal"/>
    <w:uiPriority w:val="98"/>
    <w:rsid w:val="00BD449F"/>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D449F"/>
    <w:rPr>
      <w:color w:val="000000" w:themeColor="text1"/>
    </w:rPr>
    <w:tblPr>
      <w:tblStyleRowBandSize w:val="1"/>
      <w:tblStyleColBandSize w:val="1"/>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1" w:themeFillTint="3F"/>
      </w:tcPr>
    </w:tblStylePr>
    <w:tblStylePr w:type="band1Horz">
      <w:tblPr/>
      <w:tcPr>
        <w:shd w:val="clear" w:color="auto" w:fill="BEFDFF" w:themeFill="accent1" w:themeFillTint="33"/>
      </w:tcPr>
    </w:tblStylePr>
  </w:style>
  <w:style w:type="table" w:styleId="ColorfulList-Accent2">
    <w:name w:val="Colorful List Accent 2"/>
    <w:basedOn w:val="TableNormal"/>
    <w:uiPriority w:val="98"/>
    <w:rsid w:val="00BD449F"/>
    <w:rPr>
      <w:color w:val="000000" w:themeColor="text1"/>
    </w:rPr>
    <w:tblPr>
      <w:tblStyleRowBandSize w:val="1"/>
      <w:tblStyleColBandSize w:val="1"/>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09332" w:themeFill="accent2" w:themeFillShade="CC"/>
      </w:tcPr>
    </w:tblStylePr>
    <w:tblStylePr w:type="lastRow">
      <w:rPr>
        <w:b/>
        <w:bCs/>
        <w:color w:val="7093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CE" w:themeFill="accent2" w:themeFillTint="3F"/>
      </w:tcPr>
    </w:tblStylePr>
    <w:tblStylePr w:type="band1Horz">
      <w:tblPr/>
      <w:tcPr>
        <w:shd w:val="clear" w:color="auto" w:fill="E8F1D7" w:themeFill="accent2" w:themeFillTint="33"/>
      </w:tcPr>
    </w:tblStylePr>
  </w:style>
  <w:style w:type="table" w:styleId="ColorfulList-Accent3">
    <w:name w:val="Colorful List Accent 3"/>
    <w:basedOn w:val="TableNormal"/>
    <w:uiPriority w:val="98"/>
    <w:rsid w:val="00BD449F"/>
    <w:rPr>
      <w:color w:val="000000" w:themeColor="text1"/>
    </w:rPr>
    <w:tblPr>
      <w:tblStyleRowBandSize w:val="1"/>
      <w:tblStyleColBandSize w:val="1"/>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88208" w:themeFill="accent4" w:themeFillShade="CC"/>
      </w:tcPr>
    </w:tblStylePr>
    <w:tblStylePr w:type="lastRow">
      <w:rPr>
        <w:b/>
        <w:bCs/>
        <w:color w:val="E882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AE3" w:themeFill="accent3" w:themeFillTint="3F"/>
      </w:tcPr>
    </w:tblStylePr>
    <w:tblStylePr w:type="band1Horz">
      <w:tblPr/>
      <w:tcPr>
        <w:shd w:val="clear" w:color="auto" w:fill="FEC7E8" w:themeFill="accent3" w:themeFillTint="33"/>
      </w:tcPr>
    </w:tblStylePr>
  </w:style>
  <w:style w:type="table" w:styleId="ColorfulList-Accent4">
    <w:name w:val="Colorful List Accent 4"/>
    <w:basedOn w:val="TableNormal"/>
    <w:uiPriority w:val="98"/>
    <w:rsid w:val="00BD449F"/>
    <w:rPr>
      <w:color w:val="000000" w:themeColor="text1"/>
    </w:rPr>
    <w:tblPr>
      <w:tblStyleRowBandSize w:val="1"/>
      <w:tblStyleColBandSize w:val="1"/>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3036E" w:themeFill="accent3" w:themeFillShade="CC"/>
      </w:tcPr>
    </w:tblStylePr>
    <w:tblStylePr w:type="lastRow">
      <w:rPr>
        <w:b/>
        <w:bCs/>
        <w:color w:val="B3036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C" w:themeFill="accent4" w:themeFillTint="3F"/>
      </w:tcPr>
    </w:tblStylePr>
    <w:tblStylePr w:type="band1Horz">
      <w:tblPr/>
      <w:tcPr>
        <w:shd w:val="clear" w:color="auto" w:fill="FDEBD6" w:themeFill="accent4" w:themeFillTint="33"/>
      </w:tcPr>
    </w:tblStylePr>
  </w:style>
  <w:style w:type="table" w:styleId="ColorfulList-Accent5">
    <w:name w:val="Colorful List Accent 5"/>
    <w:basedOn w:val="TableNormal"/>
    <w:uiPriority w:val="98"/>
    <w:rsid w:val="00BD449F"/>
    <w:rPr>
      <w:color w:val="000000" w:themeColor="text1"/>
    </w:rPr>
    <w:tblPr>
      <w:tblStyleRowBandSize w:val="1"/>
      <w:tblStyleColBandSize w:val="1"/>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C43618" w:themeFill="accent6" w:themeFillShade="CC"/>
      </w:tcPr>
    </w:tblStylePr>
    <w:tblStylePr w:type="lastRow">
      <w:rPr>
        <w:b/>
        <w:bCs/>
        <w:color w:val="C436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2E8" w:themeFill="accent5" w:themeFillTint="3F"/>
      </w:tcPr>
    </w:tblStylePr>
    <w:tblStylePr w:type="band1Horz">
      <w:tblPr/>
      <w:tcPr>
        <w:shd w:val="clear" w:color="auto" w:fill="E7DAEC" w:themeFill="accent5" w:themeFillTint="33"/>
      </w:tcPr>
    </w:tblStylePr>
  </w:style>
  <w:style w:type="table" w:styleId="ColorfulList-Accent6">
    <w:name w:val="Colorful List Accent 6"/>
    <w:basedOn w:val="TableNormal"/>
    <w:uiPriority w:val="98"/>
    <w:rsid w:val="00BD449F"/>
    <w:rPr>
      <w:color w:val="000000" w:themeColor="text1"/>
    </w:rPr>
    <w:tblPr>
      <w:tblStyleRowBandSize w:val="1"/>
      <w:tblStyleColBandSize w:val="1"/>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407F" w:themeFill="accent5" w:themeFillShade="CC"/>
      </w:tcPr>
    </w:tblStylePr>
    <w:tblStylePr w:type="lastRow">
      <w:rPr>
        <w:b/>
        <w:bCs/>
        <w:color w:val="6A40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3CB" w:themeFill="accent6" w:themeFillTint="3F"/>
      </w:tcPr>
    </w:tblStylePr>
    <w:tblStylePr w:type="band1Horz">
      <w:tblPr/>
      <w:tcPr>
        <w:shd w:val="clear" w:color="auto" w:fill="F9DBD5" w:themeFill="accent6" w:themeFillTint="33"/>
      </w:tcPr>
    </w:tblStylePr>
  </w:style>
  <w:style w:type="table" w:styleId="ColorfulShading">
    <w:name w:val="Colorful Shading"/>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00B8BD" w:themeColor="accent1"/>
        <w:bottom w:val="single" w:sz="4" w:space="0" w:color="00B8BD" w:themeColor="accent1"/>
        <w:right w:val="single" w:sz="4" w:space="0" w:color="00B8BD" w:themeColor="accent1"/>
        <w:insideH w:val="single" w:sz="4" w:space="0" w:color="FFFFFF" w:themeColor="background1"/>
        <w:insideV w:val="single" w:sz="4" w:space="0" w:color="FFFFFF" w:themeColor="background1"/>
      </w:tblBorders>
    </w:tblPr>
    <w:tcPr>
      <w:shd w:val="clear" w:color="auto" w:fill="DFF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71" w:themeFill="accent1" w:themeFillShade="99"/>
      </w:tcPr>
    </w:tblStylePr>
    <w:tblStylePr w:type="firstCol">
      <w:rPr>
        <w:color w:val="FFFFFF" w:themeColor="background1"/>
      </w:rPr>
      <w:tblPr/>
      <w:tcPr>
        <w:tcBorders>
          <w:top w:val="nil"/>
          <w:left w:val="nil"/>
          <w:bottom w:val="nil"/>
          <w:right w:val="nil"/>
          <w:insideH w:val="single" w:sz="4" w:space="0" w:color="006E71" w:themeColor="accent1" w:themeShade="99"/>
          <w:insideV w:val="nil"/>
        </w:tcBorders>
        <w:shd w:val="clear" w:color="auto" w:fill="006E7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E71" w:themeFill="accent1" w:themeFillShade="99"/>
      </w:tcPr>
    </w:tblStylePr>
    <w:tblStylePr w:type="band1Vert">
      <w:tblPr/>
      <w:tcPr>
        <w:shd w:val="clear" w:color="auto" w:fill="7EFBFF" w:themeFill="accent1" w:themeFillTint="66"/>
      </w:tcPr>
    </w:tblStylePr>
    <w:tblStylePr w:type="band1Horz">
      <w:tblPr/>
      <w:tcPr>
        <w:shd w:val="clear" w:color="auto" w:fill="5FFA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D449F"/>
    <w:rPr>
      <w:color w:val="000000" w:themeColor="text1"/>
    </w:rPr>
    <w:tblPr>
      <w:tblStyleRowBandSize w:val="1"/>
      <w:tblStyleColBandSize w:val="1"/>
      <w:tblBorders>
        <w:top w:val="single" w:sz="24" w:space="0" w:color="8DB93F" w:themeColor="accent2"/>
        <w:left w:val="single" w:sz="4" w:space="0" w:color="8DB93F" w:themeColor="accent2"/>
        <w:bottom w:val="single" w:sz="4" w:space="0" w:color="8DB93F" w:themeColor="accent2"/>
        <w:right w:val="single" w:sz="4" w:space="0" w:color="8DB93F" w:themeColor="accent2"/>
        <w:insideH w:val="single" w:sz="4" w:space="0" w:color="FFFFFF" w:themeColor="background1"/>
        <w:insideV w:val="single" w:sz="4" w:space="0" w:color="FFFFFF" w:themeColor="background1"/>
      </w:tblBorders>
    </w:tblPr>
    <w:tcPr>
      <w:shd w:val="clear" w:color="auto" w:fill="F3F8EB"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6E25" w:themeFill="accent2" w:themeFillShade="99"/>
      </w:tcPr>
    </w:tblStylePr>
    <w:tblStylePr w:type="firstCol">
      <w:rPr>
        <w:color w:val="FFFFFF" w:themeColor="background1"/>
      </w:rPr>
      <w:tblPr/>
      <w:tcPr>
        <w:tcBorders>
          <w:top w:val="nil"/>
          <w:left w:val="nil"/>
          <w:bottom w:val="nil"/>
          <w:right w:val="nil"/>
          <w:insideH w:val="single" w:sz="4" w:space="0" w:color="546E25" w:themeColor="accent2" w:themeShade="99"/>
          <w:insideV w:val="nil"/>
        </w:tcBorders>
        <w:shd w:val="clear" w:color="auto" w:fill="546E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46E25" w:themeFill="accent2" w:themeFillShade="99"/>
      </w:tcPr>
    </w:tblStylePr>
    <w:tblStylePr w:type="band1Vert">
      <w:tblPr/>
      <w:tcPr>
        <w:shd w:val="clear" w:color="auto" w:fill="D1E4B0" w:themeFill="accent2" w:themeFillTint="66"/>
      </w:tcPr>
    </w:tblStylePr>
    <w:tblStylePr w:type="band1Horz">
      <w:tblPr/>
      <w:tcPr>
        <w:shd w:val="clear" w:color="auto" w:fill="C6DD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D449F"/>
    <w:rPr>
      <w:color w:val="000000" w:themeColor="text1"/>
    </w:rPr>
    <w:tblPr>
      <w:tblStyleRowBandSize w:val="1"/>
      <w:tblStyleColBandSize w:val="1"/>
      <w:tblBorders>
        <w:top w:val="single" w:sz="24" w:space="0" w:color="F8A034" w:themeColor="accent4"/>
        <w:left w:val="single" w:sz="4" w:space="0" w:color="E0048B" w:themeColor="accent3"/>
        <w:bottom w:val="single" w:sz="4" w:space="0" w:color="E0048B" w:themeColor="accent3"/>
        <w:right w:val="single" w:sz="4" w:space="0" w:color="E0048B" w:themeColor="accent3"/>
        <w:insideH w:val="single" w:sz="4" w:space="0" w:color="FFFFFF" w:themeColor="background1"/>
        <w:insideV w:val="single" w:sz="4" w:space="0" w:color="FFFFFF" w:themeColor="background1"/>
      </w:tblBorders>
    </w:tblPr>
    <w:tcPr>
      <w:shd w:val="clear" w:color="auto" w:fill="FEE3F4"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0253" w:themeFill="accent3" w:themeFillShade="99"/>
      </w:tcPr>
    </w:tblStylePr>
    <w:tblStylePr w:type="firstCol">
      <w:rPr>
        <w:color w:val="FFFFFF" w:themeColor="background1"/>
      </w:rPr>
      <w:tblPr/>
      <w:tcPr>
        <w:tcBorders>
          <w:top w:val="nil"/>
          <w:left w:val="nil"/>
          <w:bottom w:val="nil"/>
          <w:right w:val="nil"/>
          <w:insideH w:val="single" w:sz="4" w:space="0" w:color="860253" w:themeColor="accent3" w:themeShade="99"/>
          <w:insideV w:val="nil"/>
        </w:tcBorders>
        <w:shd w:val="clear" w:color="auto" w:fill="8602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0253" w:themeFill="accent3" w:themeFillShade="99"/>
      </w:tcPr>
    </w:tblStylePr>
    <w:tblStylePr w:type="band1Vert">
      <w:tblPr/>
      <w:tcPr>
        <w:shd w:val="clear" w:color="auto" w:fill="FD8FD2" w:themeFill="accent3" w:themeFillTint="66"/>
      </w:tcPr>
    </w:tblStylePr>
    <w:tblStylePr w:type="band1Horz">
      <w:tblPr/>
      <w:tcPr>
        <w:shd w:val="clear" w:color="auto" w:fill="FC74C7" w:themeFill="accent3" w:themeFillTint="7F"/>
      </w:tcPr>
    </w:tblStylePr>
  </w:style>
  <w:style w:type="table" w:styleId="ColorfulShading-Accent4">
    <w:name w:val="Colorful Shading Accent 4"/>
    <w:basedOn w:val="TableNormal"/>
    <w:uiPriority w:val="98"/>
    <w:rsid w:val="00BD449F"/>
    <w:rPr>
      <w:color w:val="000000" w:themeColor="text1"/>
    </w:rPr>
    <w:tblPr>
      <w:tblStyleRowBandSize w:val="1"/>
      <w:tblStyleColBandSize w:val="1"/>
      <w:tblBorders>
        <w:top w:val="single" w:sz="24" w:space="0" w:color="E0048B" w:themeColor="accent3"/>
        <w:left w:val="single" w:sz="4" w:space="0" w:color="F8A034" w:themeColor="accent4"/>
        <w:bottom w:val="single" w:sz="4" w:space="0" w:color="F8A034" w:themeColor="accent4"/>
        <w:right w:val="single" w:sz="4" w:space="0" w:color="F8A034" w:themeColor="accent4"/>
        <w:insideH w:val="single" w:sz="4" w:space="0" w:color="FFFFFF" w:themeColor="background1"/>
        <w:insideV w:val="single" w:sz="4" w:space="0" w:color="FFFFFF" w:themeColor="background1"/>
      </w:tblBorders>
    </w:tblPr>
    <w:tcPr>
      <w:shd w:val="clear" w:color="auto" w:fill="FEF5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6206" w:themeFill="accent4" w:themeFillShade="99"/>
      </w:tcPr>
    </w:tblStylePr>
    <w:tblStylePr w:type="firstCol">
      <w:rPr>
        <w:color w:val="FFFFFF" w:themeColor="background1"/>
      </w:rPr>
      <w:tblPr/>
      <w:tcPr>
        <w:tcBorders>
          <w:top w:val="nil"/>
          <w:left w:val="nil"/>
          <w:bottom w:val="nil"/>
          <w:right w:val="nil"/>
          <w:insideH w:val="single" w:sz="4" w:space="0" w:color="AE6206" w:themeColor="accent4" w:themeShade="99"/>
          <w:insideV w:val="nil"/>
        </w:tcBorders>
        <w:shd w:val="clear" w:color="auto" w:fill="AE62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6206" w:themeFill="accent4" w:themeFillShade="99"/>
      </w:tcPr>
    </w:tblStylePr>
    <w:tblStylePr w:type="band1Vert">
      <w:tblPr/>
      <w:tcPr>
        <w:shd w:val="clear" w:color="auto" w:fill="FCD8AD" w:themeFill="accent4" w:themeFillTint="66"/>
      </w:tcPr>
    </w:tblStylePr>
    <w:tblStylePr w:type="band1Horz">
      <w:tblPr/>
      <w:tcPr>
        <w:shd w:val="clear" w:color="auto" w:fill="FBCF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D449F"/>
    <w:rPr>
      <w:color w:val="000000" w:themeColor="text1"/>
    </w:rPr>
    <w:tblPr>
      <w:tblStyleRowBandSize w:val="1"/>
      <w:tblStyleColBandSize w:val="1"/>
      <w:tblBorders>
        <w:top w:val="single" w:sz="24" w:space="0" w:color="E54F2F" w:themeColor="accent6"/>
        <w:left w:val="single" w:sz="4" w:space="0" w:color="86509F" w:themeColor="accent5"/>
        <w:bottom w:val="single" w:sz="4" w:space="0" w:color="86509F" w:themeColor="accent5"/>
        <w:right w:val="single" w:sz="4" w:space="0" w:color="86509F" w:themeColor="accent5"/>
        <w:insideH w:val="single" w:sz="4" w:space="0" w:color="FFFFFF" w:themeColor="background1"/>
        <w:insideV w:val="single" w:sz="4" w:space="0" w:color="FFFFFF" w:themeColor="background1"/>
      </w:tblBorders>
    </w:tblPr>
    <w:tcPr>
      <w:shd w:val="clear" w:color="auto" w:fill="F3EDF6"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05F" w:themeFill="accent5" w:themeFillShade="99"/>
      </w:tcPr>
    </w:tblStylePr>
    <w:tblStylePr w:type="firstCol">
      <w:rPr>
        <w:color w:val="FFFFFF" w:themeColor="background1"/>
      </w:rPr>
      <w:tblPr/>
      <w:tcPr>
        <w:tcBorders>
          <w:top w:val="nil"/>
          <w:left w:val="nil"/>
          <w:bottom w:val="nil"/>
          <w:right w:val="nil"/>
          <w:insideH w:val="single" w:sz="4" w:space="0" w:color="50305F" w:themeColor="accent5" w:themeShade="99"/>
          <w:insideV w:val="nil"/>
        </w:tcBorders>
        <w:shd w:val="clear" w:color="auto" w:fill="50305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0305F" w:themeFill="accent5" w:themeFillShade="99"/>
      </w:tcPr>
    </w:tblStylePr>
    <w:tblStylePr w:type="band1Vert">
      <w:tblPr/>
      <w:tcPr>
        <w:shd w:val="clear" w:color="auto" w:fill="CFB6DA" w:themeFill="accent5" w:themeFillTint="66"/>
      </w:tcPr>
    </w:tblStylePr>
    <w:tblStylePr w:type="band1Horz">
      <w:tblPr/>
      <w:tcPr>
        <w:shd w:val="clear" w:color="auto" w:fill="C3A5D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D449F"/>
    <w:rPr>
      <w:color w:val="000000" w:themeColor="text1"/>
    </w:rPr>
    <w:tblPr>
      <w:tblStyleRowBandSize w:val="1"/>
      <w:tblStyleColBandSize w:val="1"/>
      <w:tblBorders>
        <w:top w:val="single" w:sz="24" w:space="0" w:color="86509F" w:themeColor="accent5"/>
        <w:left w:val="single" w:sz="4" w:space="0" w:color="E54F2F" w:themeColor="accent6"/>
        <w:bottom w:val="single" w:sz="4" w:space="0" w:color="E54F2F" w:themeColor="accent6"/>
        <w:right w:val="single" w:sz="4" w:space="0" w:color="E54F2F" w:themeColor="accent6"/>
        <w:insideH w:val="single" w:sz="4" w:space="0" w:color="FFFFFF" w:themeColor="background1"/>
        <w:insideV w:val="single" w:sz="4" w:space="0" w:color="FFFFFF" w:themeColor="background1"/>
      </w:tblBorders>
    </w:tblPr>
    <w:tcPr>
      <w:shd w:val="clear" w:color="auto" w:fill="FCEDEA"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812" w:themeFill="accent6" w:themeFillShade="99"/>
      </w:tcPr>
    </w:tblStylePr>
    <w:tblStylePr w:type="firstCol">
      <w:rPr>
        <w:color w:val="FFFFFF" w:themeColor="background1"/>
      </w:rPr>
      <w:tblPr/>
      <w:tcPr>
        <w:tcBorders>
          <w:top w:val="nil"/>
          <w:left w:val="nil"/>
          <w:bottom w:val="nil"/>
          <w:right w:val="nil"/>
          <w:insideH w:val="single" w:sz="4" w:space="0" w:color="922812" w:themeColor="accent6" w:themeShade="99"/>
          <w:insideV w:val="nil"/>
        </w:tcBorders>
        <w:shd w:val="clear" w:color="auto" w:fill="92281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22812" w:themeFill="accent6" w:themeFillShade="99"/>
      </w:tcPr>
    </w:tblStylePr>
    <w:tblStylePr w:type="band1Vert">
      <w:tblPr/>
      <w:tcPr>
        <w:shd w:val="clear" w:color="auto" w:fill="F4B8AB" w:themeFill="accent6" w:themeFillTint="66"/>
      </w:tcPr>
    </w:tblStylePr>
    <w:tblStylePr w:type="band1Horz">
      <w:tblPr/>
      <w:tcPr>
        <w:shd w:val="clear" w:color="auto" w:fill="F2A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D449F"/>
    <w:rPr>
      <w:rFonts w:asciiTheme="minorHAnsi" w:hAnsiTheme="minorHAnsi"/>
      <w:sz w:val="16"/>
      <w:szCs w:val="16"/>
    </w:rPr>
  </w:style>
  <w:style w:type="paragraph" w:styleId="CommentText">
    <w:name w:val="annotation text"/>
    <w:basedOn w:val="Normal"/>
    <w:link w:val="CommentTextChar"/>
    <w:uiPriority w:val="97"/>
    <w:semiHidden/>
    <w:rsid w:val="00BD449F"/>
    <w:pPr>
      <w:spacing w:line="240" w:lineRule="auto"/>
    </w:pPr>
  </w:style>
  <w:style w:type="character" w:customStyle="1" w:styleId="CommentTextChar">
    <w:name w:val="Comment Text Char"/>
    <w:basedOn w:val="DefaultParagraphFont"/>
    <w:link w:val="CommentText"/>
    <w:rsid w:val="00BD449F"/>
    <w:rPr>
      <w:rFonts w:asciiTheme="minorHAnsi" w:hAnsiTheme="minorHAnsi"/>
      <w:lang w:val="en-AU" w:eastAsia="ja-JP"/>
    </w:rPr>
  </w:style>
  <w:style w:type="paragraph" w:styleId="CommentSubject">
    <w:name w:val="annotation subject"/>
    <w:basedOn w:val="CommentText"/>
    <w:next w:val="CommentText"/>
    <w:link w:val="CommentSubjectChar"/>
    <w:uiPriority w:val="97"/>
    <w:semiHidden/>
    <w:rsid w:val="00BD449F"/>
    <w:rPr>
      <w:b/>
      <w:bCs/>
    </w:rPr>
  </w:style>
  <w:style w:type="character" w:customStyle="1" w:styleId="CommentSubjectChar">
    <w:name w:val="Comment Subject Char"/>
    <w:basedOn w:val="CommentTextChar"/>
    <w:link w:val="CommentSubject"/>
    <w:rsid w:val="00BD449F"/>
    <w:rPr>
      <w:rFonts w:asciiTheme="minorHAnsi" w:hAnsiTheme="minorHAnsi"/>
      <w:b/>
      <w:bCs/>
      <w:lang w:val="en-AU" w:eastAsia="ja-JP"/>
    </w:rPr>
  </w:style>
  <w:style w:type="table" w:styleId="DarkList">
    <w:name w:val="Dark List"/>
    <w:basedOn w:val="TableNormal"/>
    <w:uiPriority w:val="98"/>
    <w:rsid w:val="00BD449F"/>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D449F"/>
    <w:rPr>
      <w:color w:val="FFFFFF" w:themeColor="background1"/>
    </w:rPr>
    <w:tblPr>
      <w:tblStyleRowBandSize w:val="1"/>
      <w:tblStyleColBandSize w:val="1"/>
    </w:tblPr>
    <w:tcPr>
      <w:shd w:val="clear" w:color="auto" w:fill="00B8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5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9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98D" w:themeFill="accent1" w:themeFillShade="BF"/>
      </w:tcPr>
    </w:tblStylePr>
    <w:tblStylePr w:type="band1Vert">
      <w:tblPr/>
      <w:tcPr>
        <w:tcBorders>
          <w:top w:val="nil"/>
          <w:left w:val="nil"/>
          <w:bottom w:val="nil"/>
          <w:right w:val="nil"/>
          <w:insideH w:val="nil"/>
          <w:insideV w:val="nil"/>
        </w:tcBorders>
        <w:shd w:val="clear" w:color="auto" w:fill="00898D" w:themeFill="accent1" w:themeFillShade="BF"/>
      </w:tcPr>
    </w:tblStylePr>
    <w:tblStylePr w:type="band1Horz">
      <w:tblPr/>
      <w:tcPr>
        <w:tcBorders>
          <w:top w:val="nil"/>
          <w:left w:val="nil"/>
          <w:bottom w:val="nil"/>
          <w:right w:val="nil"/>
          <w:insideH w:val="nil"/>
          <w:insideV w:val="nil"/>
        </w:tcBorders>
        <w:shd w:val="clear" w:color="auto" w:fill="00898D" w:themeFill="accent1" w:themeFillShade="BF"/>
      </w:tcPr>
    </w:tblStylePr>
  </w:style>
  <w:style w:type="table" w:styleId="DarkList-Accent2">
    <w:name w:val="Dark List Accent 2"/>
    <w:basedOn w:val="TableNormal"/>
    <w:uiPriority w:val="98"/>
    <w:rsid w:val="00BD449F"/>
    <w:rPr>
      <w:color w:val="FFFFFF" w:themeColor="background1"/>
    </w:rPr>
    <w:tblPr>
      <w:tblStyleRowBandSize w:val="1"/>
      <w:tblStyleColBandSize w:val="1"/>
    </w:tblPr>
    <w:tcPr>
      <w:shd w:val="clear" w:color="auto" w:fill="8DB93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98A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98A2F" w:themeFill="accent2" w:themeFillShade="BF"/>
      </w:tcPr>
    </w:tblStylePr>
    <w:tblStylePr w:type="band1Vert">
      <w:tblPr/>
      <w:tcPr>
        <w:tcBorders>
          <w:top w:val="nil"/>
          <w:left w:val="nil"/>
          <w:bottom w:val="nil"/>
          <w:right w:val="nil"/>
          <w:insideH w:val="nil"/>
          <w:insideV w:val="nil"/>
        </w:tcBorders>
        <w:shd w:val="clear" w:color="auto" w:fill="698A2F" w:themeFill="accent2" w:themeFillShade="BF"/>
      </w:tcPr>
    </w:tblStylePr>
    <w:tblStylePr w:type="band1Horz">
      <w:tblPr/>
      <w:tcPr>
        <w:tcBorders>
          <w:top w:val="nil"/>
          <w:left w:val="nil"/>
          <w:bottom w:val="nil"/>
          <w:right w:val="nil"/>
          <w:insideH w:val="nil"/>
          <w:insideV w:val="nil"/>
        </w:tcBorders>
        <w:shd w:val="clear" w:color="auto" w:fill="698A2F" w:themeFill="accent2" w:themeFillShade="BF"/>
      </w:tcPr>
    </w:tblStylePr>
  </w:style>
  <w:style w:type="table" w:styleId="DarkList-Accent3">
    <w:name w:val="Dark List Accent 3"/>
    <w:basedOn w:val="TableNormal"/>
    <w:uiPriority w:val="98"/>
    <w:rsid w:val="00BD449F"/>
    <w:rPr>
      <w:color w:val="FFFFFF" w:themeColor="background1"/>
    </w:rPr>
    <w:tblPr>
      <w:tblStyleRowBandSize w:val="1"/>
      <w:tblStyleColBandSize w:val="1"/>
    </w:tblPr>
    <w:tcPr>
      <w:shd w:val="clear" w:color="auto" w:fill="E0048B"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02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7036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70367" w:themeFill="accent3" w:themeFillShade="BF"/>
      </w:tcPr>
    </w:tblStylePr>
    <w:tblStylePr w:type="band1Vert">
      <w:tblPr/>
      <w:tcPr>
        <w:tcBorders>
          <w:top w:val="nil"/>
          <w:left w:val="nil"/>
          <w:bottom w:val="nil"/>
          <w:right w:val="nil"/>
          <w:insideH w:val="nil"/>
          <w:insideV w:val="nil"/>
        </w:tcBorders>
        <w:shd w:val="clear" w:color="auto" w:fill="A70367" w:themeFill="accent3" w:themeFillShade="BF"/>
      </w:tcPr>
    </w:tblStylePr>
    <w:tblStylePr w:type="band1Horz">
      <w:tblPr/>
      <w:tcPr>
        <w:tcBorders>
          <w:top w:val="nil"/>
          <w:left w:val="nil"/>
          <w:bottom w:val="nil"/>
          <w:right w:val="nil"/>
          <w:insideH w:val="nil"/>
          <w:insideV w:val="nil"/>
        </w:tcBorders>
        <w:shd w:val="clear" w:color="auto" w:fill="A70367" w:themeFill="accent3" w:themeFillShade="BF"/>
      </w:tcPr>
    </w:tblStylePr>
  </w:style>
  <w:style w:type="table" w:styleId="DarkList-Accent4">
    <w:name w:val="Dark List Accent 4"/>
    <w:basedOn w:val="TableNormal"/>
    <w:uiPriority w:val="98"/>
    <w:rsid w:val="00BD449F"/>
    <w:rPr>
      <w:color w:val="FFFFFF" w:themeColor="background1"/>
    </w:rPr>
    <w:tblPr>
      <w:tblStyleRowBandSize w:val="1"/>
      <w:tblStyleColBandSize w:val="1"/>
    </w:tblPr>
    <w:tcPr>
      <w:shd w:val="clear" w:color="auto" w:fill="F8A034"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51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97A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97A07" w:themeFill="accent4" w:themeFillShade="BF"/>
      </w:tcPr>
    </w:tblStylePr>
    <w:tblStylePr w:type="band1Vert">
      <w:tblPr/>
      <w:tcPr>
        <w:tcBorders>
          <w:top w:val="nil"/>
          <w:left w:val="nil"/>
          <w:bottom w:val="nil"/>
          <w:right w:val="nil"/>
          <w:insideH w:val="nil"/>
          <w:insideV w:val="nil"/>
        </w:tcBorders>
        <w:shd w:val="clear" w:color="auto" w:fill="D97A07" w:themeFill="accent4" w:themeFillShade="BF"/>
      </w:tcPr>
    </w:tblStylePr>
    <w:tblStylePr w:type="band1Horz">
      <w:tblPr/>
      <w:tcPr>
        <w:tcBorders>
          <w:top w:val="nil"/>
          <w:left w:val="nil"/>
          <w:bottom w:val="nil"/>
          <w:right w:val="nil"/>
          <w:insideH w:val="nil"/>
          <w:insideV w:val="nil"/>
        </w:tcBorders>
        <w:shd w:val="clear" w:color="auto" w:fill="D97A07" w:themeFill="accent4" w:themeFillShade="BF"/>
      </w:tcPr>
    </w:tblStylePr>
  </w:style>
  <w:style w:type="table" w:styleId="DarkList-Accent5">
    <w:name w:val="Dark List Accent 5"/>
    <w:basedOn w:val="TableNormal"/>
    <w:uiPriority w:val="98"/>
    <w:rsid w:val="00BD449F"/>
    <w:rPr>
      <w:color w:val="FFFFFF" w:themeColor="background1"/>
    </w:rPr>
    <w:tblPr>
      <w:tblStyleRowBandSize w:val="1"/>
      <w:tblStyleColBandSize w:val="1"/>
    </w:tblPr>
    <w:tcPr>
      <w:shd w:val="clear" w:color="auto" w:fill="86509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8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43C7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43C77" w:themeFill="accent5" w:themeFillShade="BF"/>
      </w:tcPr>
    </w:tblStylePr>
    <w:tblStylePr w:type="band1Vert">
      <w:tblPr/>
      <w:tcPr>
        <w:tcBorders>
          <w:top w:val="nil"/>
          <w:left w:val="nil"/>
          <w:bottom w:val="nil"/>
          <w:right w:val="nil"/>
          <w:insideH w:val="nil"/>
          <w:insideV w:val="nil"/>
        </w:tcBorders>
        <w:shd w:val="clear" w:color="auto" w:fill="643C77" w:themeFill="accent5" w:themeFillShade="BF"/>
      </w:tcPr>
    </w:tblStylePr>
    <w:tblStylePr w:type="band1Horz">
      <w:tblPr/>
      <w:tcPr>
        <w:tcBorders>
          <w:top w:val="nil"/>
          <w:left w:val="nil"/>
          <w:bottom w:val="nil"/>
          <w:right w:val="nil"/>
          <w:insideH w:val="nil"/>
          <w:insideV w:val="nil"/>
        </w:tcBorders>
        <w:shd w:val="clear" w:color="auto" w:fill="643C77" w:themeFill="accent5" w:themeFillShade="BF"/>
      </w:tcPr>
    </w:tblStylePr>
  </w:style>
  <w:style w:type="table" w:styleId="DarkList-Accent6">
    <w:name w:val="Dark List Accent 6"/>
    <w:basedOn w:val="TableNormal"/>
    <w:uiPriority w:val="98"/>
    <w:rsid w:val="00BD449F"/>
    <w:rPr>
      <w:color w:val="FFFFFF" w:themeColor="background1"/>
    </w:rPr>
    <w:tblPr>
      <w:tblStyleRowBandSize w:val="1"/>
      <w:tblStyleColBandSize w:val="1"/>
    </w:tblPr>
    <w:tcPr>
      <w:shd w:val="clear" w:color="auto" w:fill="E54F2F"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210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7321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73217" w:themeFill="accent6" w:themeFillShade="BF"/>
      </w:tcPr>
    </w:tblStylePr>
    <w:tblStylePr w:type="band1Vert">
      <w:tblPr/>
      <w:tcPr>
        <w:tcBorders>
          <w:top w:val="nil"/>
          <w:left w:val="nil"/>
          <w:bottom w:val="nil"/>
          <w:right w:val="nil"/>
          <w:insideH w:val="nil"/>
          <w:insideV w:val="nil"/>
        </w:tcBorders>
        <w:shd w:val="clear" w:color="auto" w:fill="B73217" w:themeFill="accent6" w:themeFillShade="BF"/>
      </w:tcPr>
    </w:tblStylePr>
    <w:tblStylePr w:type="band1Horz">
      <w:tblPr/>
      <w:tcPr>
        <w:tcBorders>
          <w:top w:val="nil"/>
          <w:left w:val="nil"/>
          <w:bottom w:val="nil"/>
          <w:right w:val="nil"/>
          <w:insideH w:val="nil"/>
          <w:insideV w:val="nil"/>
        </w:tcBorders>
        <w:shd w:val="clear" w:color="auto" w:fill="B73217" w:themeFill="accent6" w:themeFillShade="BF"/>
      </w:tcPr>
    </w:tblStylePr>
  </w:style>
  <w:style w:type="paragraph" w:styleId="Date">
    <w:name w:val="Date"/>
    <w:basedOn w:val="Normal"/>
    <w:next w:val="Normal"/>
    <w:link w:val="DateChar"/>
    <w:uiPriority w:val="97"/>
    <w:semiHidden/>
    <w:rsid w:val="00BD449F"/>
  </w:style>
  <w:style w:type="character" w:customStyle="1" w:styleId="DateChar">
    <w:name w:val="Date Char"/>
    <w:basedOn w:val="DefaultParagraphFont"/>
    <w:link w:val="Date"/>
    <w:rsid w:val="00BD449F"/>
    <w:rPr>
      <w:rFonts w:asciiTheme="minorHAnsi" w:hAnsiTheme="minorHAnsi"/>
      <w:lang w:val="en-AU" w:eastAsia="ja-JP"/>
    </w:rPr>
  </w:style>
  <w:style w:type="paragraph" w:styleId="DocumentMap">
    <w:name w:val="Document Map"/>
    <w:basedOn w:val="Normal"/>
    <w:link w:val="DocumentMapChar"/>
    <w:uiPriority w:val="97"/>
    <w:semiHidden/>
    <w:rsid w:val="00BD449F"/>
    <w:pPr>
      <w:spacing w:line="240" w:lineRule="auto"/>
    </w:pPr>
    <w:rPr>
      <w:rFonts w:cs="Tahoma"/>
      <w:sz w:val="16"/>
      <w:szCs w:val="16"/>
    </w:rPr>
  </w:style>
  <w:style w:type="character" w:customStyle="1" w:styleId="DocumentMapChar">
    <w:name w:val="Document Map Char"/>
    <w:basedOn w:val="DefaultParagraphFont"/>
    <w:link w:val="DocumentMap"/>
    <w:rsid w:val="00BD449F"/>
    <w:rPr>
      <w:rFonts w:asciiTheme="minorHAnsi" w:hAnsiTheme="minorHAnsi" w:cs="Tahoma"/>
      <w:sz w:val="16"/>
      <w:szCs w:val="16"/>
      <w:lang w:val="en-AU" w:eastAsia="ja-JP"/>
    </w:rPr>
  </w:style>
  <w:style w:type="paragraph" w:styleId="E-mailSignature">
    <w:name w:val="E-mail Signature"/>
    <w:basedOn w:val="Normal"/>
    <w:link w:val="E-mailSignatureChar"/>
    <w:uiPriority w:val="97"/>
    <w:semiHidden/>
    <w:rsid w:val="00BD449F"/>
    <w:pPr>
      <w:spacing w:line="240" w:lineRule="auto"/>
    </w:pPr>
  </w:style>
  <w:style w:type="character" w:customStyle="1" w:styleId="E-mailSignatureChar">
    <w:name w:val="E-mail Signature Char"/>
    <w:basedOn w:val="DefaultParagraphFont"/>
    <w:link w:val="E-mailSignature"/>
    <w:rsid w:val="00BD449F"/>
    <w:rPr>
      <w:rFonts w:asciiTheme="minorHAnsi" w:hAnsiTheme="minorHAnsi"/>
      <w:lang w:val="en-AU" w:eastAsia="ja-JP"/>
    </w:rPr>
  </w:style>
  <w:style w:type="character" w:styleId="Emphasis">
    <w:name w:val="Emphasis"/>
    <w:basedOn w:val="DefaultParagraphFont"/>
    <w:uiPriority w:val="97"/>
    <w:semiHidden/>
    <w:rsid w:val="00BD449F"/>
    <w:rPr>
      <w:rFonts w:asciiTheme="minorHAnsi" w:hAnsiTheme="minorHAnsi"/>
      <w:i/>
      <w:iCs/>
    </w:rPr>
  </w:style>
  <w:style w:type="character" w:styleId="EndnoteReference">
    <w:name w:val="endnote reference"/>
    <w:basedOn w:val="DefaultParagraphFont"/>
    <w:uiPriority w:val="97"/>
    <w:semiHidden/>
    <w:rsid w:val="00BD449F"/>
    <w:rPr>
      <w:rFonts w:asciiTheme="minorHAnsi" w:hAnsiTheme="minorHAnsi"/>
      <w:vertAlign w:val="superscript"/>
    </w:rPr>
  </w:style>
  <w:style w:type="paragraph" w:styleId="EndnoteText">
    <w:name w:val="endnote text"/>
    <w:basedOn w:val="Normal"/>
    <w:link w:val="EndnoteTextChar"/>
    <w:uiPriority w:val="97"/>
    <w:semiHidden/>
    <w:rsid w:val="00BD449F"/>
    <w:pPr>
      <w:spacing w:line="240" w:lineRule="auto"/>
    </w:pPr>
  </w:style>
  <w:style w:type="character" w:customStyle="1" w:styleId="EndnoteTextChar">
    <w:name w:val="Endnote Text Char"/>
    <w:basedOn w:val="DefaultParagraphFont"/>
    <w:link w:val="EndnoteText"/>
    <w:rsid w:val="00BD449F"/>
    <w:rPr>
      <w:rFonts w:asciiTheme="minorHAnsi" w:hAnsiTheme="minorHAnsi"/>
      <w:lang w:val="en-AU" w:eastAsia="ja-JP"/>
    </w:rPr>
  </w:style>
  <w:style w:type="paragraph" w:styleId="EnvelopeAddress">
    <w:name w:val="envelope address"/>
    <w:basedOn w:val="Normal"/>
    <w:uiPriority w:val="97"/>
    <w:semiHidden/>
    <w:rsid w:val="00BD449F"/>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7"/>
    <w:semiHidden/>
    <w:rsid w:val="00BD449F"/>
    <w:pPr>
      <w:spacing w:line="240" w:lineRule="auto"/>
    </w:pPr>
    <w:rPr>
      <w:rFonts w:eastAsiaTheme="majorEastAsia" w:cstheme="majorBidi"/>
    </w:rPr>
  </w:style>
  <w:style w:type="character" w:styleId="FollowedHyperlink">
    <w:name w:val="FollowedHyperlink"/>
    <w:basedOn w:val="DefaultParagraphFont"/>
    <w:uiPriority w:val="97"/>
    <w:semiHidden/>
    <w:rsid w:val="00BD449F"/>
    <w:rPr>
      <w:rFonts w:asciiTheme="minorHAnsi" w:hAnsiTheme="minorHAnsi"/>
      <w:color w:val="800080" w:themeColor="followedHyperlink"/>
      <w:u w:val="single"/>
    </w:rPr>
  </w:style>
  <w:style w:type="character" w:styleId="FootnoteReference">
    <w:name w:val="footnote reference"/>
    <w:basedOn w:val="DefaultParagraphFont"/>
    <w:uiPriority w:val="97"/>
    <w:semiHidden/>
    <w:rsid w:val="00BD449F"/>
    <w:rPr>
      <w:rFonts w:asciiTheme="minorHAnsi" w:hAnsiTheme="minorHAnsi"/>
      <w:vertAlign w:val="superscript"/>
    </w:rPr>
  </w:style>
  <w:style w:type="paragraph" w:styleId="FootnoteText">
    <w:name w:val="footnote text"/>
    <w:basedOn w:val="Normal"/>
    <w:link w:val="FootnoteTextChar"/>
    <w:uiPriority w:val="97"/>
    <w:semiHidden/>
    <w:rsid w:val="00BD449F"/>
    <w:pPr>
      <w:spacing w:line="240" w:lineRule="auto"/>
    </w:pPr>
  </w:style>
  <w:style w:type="character" w:customStyle="1" w:styleId="FootnoteTextChar">
    <w:name w:val="Footnote Text Char"/>
    <w:basedOn w:val="DefaultParagraphFont"/>
    <w:link w:val="FootnoteText"/>
    <w:rsid w:val="00BD449F"/>
    <w:rPr>
      <w:rFonts w:asciiTheme="minorHAnsi" w:hAnsiTheme="minorHAnsi"/>
      <w:lang w:val="en-AU" w:eastAsia="ja-JP"/>
    </w:rPr>
  </w:style>
  <w:style w:type="character" w:styleId="HTMLAcronym">
    <w:name w:val="HTML Acronym"/>
    <w:basedOn w:val="DefaultParagraphFont"/>
    <w:uiPriority w:val="97"/>
    <w:semiHidden/>
    <w:rsid w:val="00BD449F"/>
    <w:rPr>
      <w:rFonts w:asciiTheme="minorHAnsi" w:hAnsiTheme="minorHAnsi"/>
    </w:rPr>
  </w:style>
  <w:style w:type="paragraph" w:styleId="HTMLAddress">
    <w:name w:val="HTML Address"/>
    <w:basedOn w:val="Normal"/>
    <w:link w:val="HTMLAddressChar"/>
    <w:uiPriority w:val="97"/>
    <w:semiHidden/>
    <w:rsid w:val="00BD449F"/>
    <w:pPr>
      <w:spacing w:line="240" w:lineRule="auto"/>
    </w:pPr>
    <w:rPr>
      <w:i/>
      <w:iCs/>
    </w:rPr>
  </w:style>
  <w:style w:type="character" w:customStyle="1" w:styleId="HTMLAddressChar">
    <w:name w:val="HTML Address Char"/>
    <w:basedOn w:val="DefaultParagraphFont"/>
    <w:link w:val="HTMLAddress"/>
    <w:rsid w:val="00BD449F"/>
    <w:rPr>
      <w:rFonts w:asciiTheme="minorHAnsi" w:hAnsiTheme="minorHAnsi"/>
      <w:i/>
      <w:iCs/>
      <w:lang w:val="en-AU" w:eastAsia="ja-JP"/>
    </w:rPr>
  </w:style>
  <w:style w:type="character" w:styleId="HTMLCite">
    <w:name w:val="HTML Cite"/>
    <w:basedOn w:val="DefaultParagraphFont"/>
    <w:uiPriority w:val="97"/>
    <w:semiHidden/>
    <w:rsid w:val="00BD449F"/>
    <w:rPr>
      <w:rFonts w:asciiTheme="minorHAnsi" w:hAnsiTheme="minorHAnsi"/>
      <w:i/>
      <w:iCs/>
    </w:rPr>
  </w:style>
  <w:style w:type="character" w:styleId="HTMLCode">
    <w:name w:val="HTML Code"/>
    <w:basedOn w:val="DefaultParagraphFont"/>
    <w:uiPriority w:val="97"/>
    <w:semiHidden/>
    <w:rsid w:val="00BD449F"/>
    <w:rPr>
      <w:rFonts w:ascii="Consolas" w:hAnsi="Consolas" w:cs="Consolas"/>
      <w:sz w:val="20"/>
      <w:szCs w:val="20"/>
    </w:rPr>
  </w:style>
  <w:style w:type="character" w:styleId="HTMLDefinition">
    <w:name w:val="HTML Definition"/>
    <w:basedOn w:val="DefaultParagraphFont"/>
    <w:uiPriority w:val="97"/>
    <w:semiHidden/>
    <w:rsid w:val="00BD449F"/>
    <w:rPr>
      <w:rFonts w:asciiTheme="minorHAnsi" w:hAnsiTheme="minorHAnsi"/>
      <w:i/>
      <w:iCs/>
    </w:rPr>
  </w:style>
  <w:style w:type="character" w:styleId="HTMLKeyboard">
    <w:name w:val="HTML Keyboard"/>
    <w:basedOn w:val="DefaultParagraphFont"/>
    <w:uiPriority w:val="97"/>
    <w:semiHidden/>
    <w:rsid w:val="00BD449F"/>
    <w:rPr>
      <w:rFonts w:ascii="Consolas" w:hAnsi="Consolas" w:cs="Consolas"/>
      <w:sz w:val="20"/>
      <w:szCs w:val="20"/>
    </w:rPr>
  </w:style>
  <w:style w:type="paragraph" w:styleId="HTMLPreformatted">
    <w:name w:val="HTML Preformatted"/>
    <w:basedOn w:val="Normal"/>
    <w:link w:val="HTMLPreformattedChar"/>
    <w:uiPriority w:val="97"/>
    <w:semiHidden/>
    <w:rsid w:val="00BD449F"/>
    <w:pPr>
      <w:spacing w:line="240" w:lineRule="auto"/>
    </w:pPr>
    <w:rPr>
      <w:rFonts w:cs="Consolas"/>
    </w:rPr>
  </w:style>
  <w:style w:type="character" w:customStyle="1" w:styleId="HTMLPreformattedChar">
    <w:name w:val="HTML Preformatted Char"/>
    <w:basedOn w:val="DefaultParagraphFont"/>
    <w:link w:val="HTMLPreformatted"/>
    <w:rsid w:val="00BD449F"/>
    <w:rPr>
      <w:rFonts w:asciiTheme="minorHAnsi" w:hAnsiTheme="minorHAnsi" w:cs="Consolas"/>
      <w:lang w:val="en-AU" w:eastAsia="ja-JP"/>
    </w:rPr>
  </w:style>
  <w:style w:type="character" w:styleId="HTMLSample">
    <w:name w:val="HTML Sample"/>
    <w:basedOn w:val="DefaultParagraphFont"/>
    <w:uiPriority w:val="97"/>
    <w:semiHidden/>
    <w:rsid w:val="00BD449F"/>
    <w:rPr>
      <w:rFonts w:ascii="Consolas" w:hAnsi="Consolas" w:cs="Consolas"/>
      <w:sz w:val="24"/>
      <w:szCs w:val="24"/>
    </w:rPr>
  </w:style>
  <w:style w:type="character" w:styleId="HTMLTypewriter">
    <w:name w:val="HTML Typewriter"/>
    <w:basedOn w:val="DefaultParagraphFont"/>
    <w:uiPriority w:val="97"/>
    <w:semiHidden/>
    <w:rsid w:val="00BD449F"/>
    <w:rPr>
      <w:rFonts w:ascii="Consolas" w:hAnsi="Consolas" w:cs="Consolas"/>
      <w:sz w:val="20"/>
      <w:szCs w:val="20"/>
    </w:rPr>
  </w:style>
  <w:style w:type="character" w:styleId="HTMLVariable">
    <w:name w:val="HTML Variable"/>
    <w:basedOn w:val="DefaultParagraphFont"/>
    <w:uiPriority w:val="97"/>
    <w:semiHidden/>
    <w:rsid w:val="00BD449F"/>
    <w:rPr>
      <w:rFonts w:asciiTheme="minorHAnsi" w:hAnsiTheme="minorHAnsi"/>
      <w:i/>
      <w:iCs/>
    </w:rPr>
  </w:style>
  <w:style w:type="character" w:styleId="Hyperlink">
    <w:name w:val="Hyperlink"/>
    <w:basedOn w:val="DefaultParagraphFont"/>
    <w:uiPriority w:val="97"/>
    <w:semiHidden/>
    <w:rsid w:val="00BD449F"/>
    <w:rPr>
      <w:rFonts w:asciiTheme="minorHAnsi" w:hAnsiTheme="minorHAnsi"/>
      <w:color w:val="0000FF" w:themeColor="hyperlink"/>
      <w:u w:val="single"/>
    </w:rPr>
  </w:style>
  <w:style w:type="paragraph" w:styleId="Index1">
    <w:name w:val="index 1"/>
    <w:basedOn w:val="Normal"/>
    <w:next w:val="Normal"/>
    <w:autoRedefine/>
    <w:uiPriority w:val="97"/>
    <w:semiHidden/>
    <w:rsid w:val="00BD449F"/>
    <w:pPr>
      <w:spacing w:line="240" w:lineRule="auto"/>
      <w:ind w:left="200" w:hanging="200"/>
    </w:pPr>
  </w:style>
  <w:style w:type="paragraph" w:styleId="Index2">
    <w:name w:val="index 2"/>
    <w:basedOn w:val="Normal"/>
    <w:next w:val="Normal"/>
    <w:autoRedefine/>
    <w:uiPriority w:val="97"/>
    <w:semiHidden/>
    <w:rsid w:val="00BD449F"/>
    <w:pPr>
      <w:spacing w:line="240" w:lineRule="auto"/>
      <w:ind w:left="400" w:hanging="200"/>
    </w:pPr>
  </w:style>
  <w:style w:type="paragraph" w:styleId="Index3">
    <w:name w:val="index 3"/>
    <w:basedOn w:val="Normal"/>
    <w:next w:val="Normal"/>
    <w:autoRedefine/>
    <w:uiPriority w:val="97"/>
    <w:semiHidden/>
    <w:rsid w:val="00BD449F"/>
    <w:pPr>
      <w:spacing w:line="240" w:lineRule="auto"/>
      <w:ind w:left="600" w:hanging="200"/>
    </w:pPr>
  </w:style>
  <w:style w:type="paragraph" w:styleId="Index4">
    <w:name w:val="index 4"/>
    <w:basedOn w:val="Normal"/>
    <w:next w:val="Normal"/>
    <w:autoRedefine/>
    <w:uiPriority w:val="97"/>
    <w:semiHidden/>
    <w:rsid w:val="00BD449F"/>
    <w:pPr>
      <w:spacing w:line="240" w:lineRule="auto"/>
      <w:ind w:left="800" w:hanging="200"/>
    </w:pPr>
  </w:style>
  <w:style w:type="paragraph" w:styleId="Index5">
    <w:name w:val="index 5"/>
    <w:basedOn w:val="Normal"/>
    <w:next w:val="Normal"/>
    <w:autoRedefine/>
    <w:uiPriority w:val="97"/>
    <w:semiHidden/>
    <w:rsid w:val="00BD449F"/>
    <w:pPr>
      <w:spacing w:line="240" w:lineRule="auto"/>
      <w:ind w:left="1000" w:hanging="200"/>
    </w:pPr>
  </w:style>
  <w:style w:type="paragraph" w:styleId="Index6">
    <w:name w:val="index 6"/>
    <w:basedOn w:val="Normal"/>
    <w:next w:val="Normal"/>
    <w:autoRedefine/>
    <w:uiPriority w:val="97"/>
    <w:semiHidden/>
    <w:rsid w:val="00BD449F"/>
    <w:pPr>
      <w:spacing w:line="240" w:lineRule="auto"/>
      <w:ind w:left="1200" w:hanging="200"/>
    </w:pPr>
  </w:style>
  <w:style w:type="paragraph" w:styleId="Index7">
    <w:name w:val="index 7"/>
    <w:basedOn w:val="Normal"/>
    <w:next w:val="Normal"/>
    <w:autoRedefine/>
    <w:uiPriority w:val="97"/>
    <w:semiHidden/>
    <w:rsid w:val="00BD449F"/>
    <w:pPr>
      <w:spacing w:line="240" w:lineRule="auto"/>
      <w:ind w:left="1400" w:hanging="200"/>
    </w:pPr>
  </w:style>
  <w:style w:type="paragraph" w:styleId="Index8">
    <w:name w:val="index 8"/>
    <w:basedOn w:val="Normal"/>
    <w:next w:val="Normal"/>
    <w:autoRedefine/>
    <w:uiPriority w:val="97"/>
    <w:semiHidden/>
    <w:rsid w:val="00BD449F"/>
    <w:pPr>
      <w:spacing w:line="240" w:lineRule="auto"/>
      <w:ind w:left="1600" w:hanging="200"/>
    </w:pPr>
  </w:style>
  <w:style w:type="paragraph" w:styleId="Index9">
    <w:name w:val="index 9"/>
    <w:basedOn w:val="Normal"/>
    <w:next w:val="Normal"/>
    <w:autoRedefine/>
    <w:uiPriority w:val="97"/>
    <w:semiHidden/>
    <w:rsid w:val="00BD449F"/>
    <w:pPr>
      <w:spacing w:line="240" w:lineRule="auto"/>
      <w:ind w:left="1800" w:hanging="200"/>
    </w:pPr>
  </w:style>
  <w:style w:type="paragraph" w:styleId="IndexHeading">
    <w:name w:val="index heading"/>
    <w:basedOn w:val="Normal"/>
    <w:next w:val="Index1"/>
    <w:uiPriority w:val="97"/>
    <w:semiHidden/>
    <w:rsid w:val="00BD449F"/>
    <w:rPr>
      <w:rFonts w:asciiTheme="majorHAnsi" w:eastAsiaTheme="majorEastAsia" w:hAnsiTheme="majorHAnsi" w:cstheme="majorBidi"/>
      <w:b/>
      <w:bCs/>
    </w:rPr>
  </w:style>
  <w:style w:type="character" w:styleId="IntenseEmphasis">
    <w:name w:val="Intense Emphasis"/>
    <w:basedOn w:val="DefaultParagraphFont"/>
    <w:uiPriority w:val="97"/>
    <w:semiHidden/>
    <w:rsid w:val="00BD449F"/>
    <w:rPr>
      <w:rFonts w:asciiTheme="minorHAnsi" w:hAnsiTheme="minorHAnsi"/>
      <w:b/>
      <w:bCs/>
      <w:i/>
      <w:iCs/>
      <w:color w:val="00B8BD" w:themeColor="accent1"/>
    </w:rPr>
  </w:style>
  <w:style w:type="paragraph" w:styleId="IntenseQuote">
    <w:name w:val="Intense Quote"/>
    <w:basedOn w:val="Normal"/>
    <w:next w:val="Normal"/>
    <w:link w:val="IntenseQuoteChar"/>
    <w:uiPriority w:val="97"/>
    <w:semiHidden/>
    <w:rsid w:val="00BD449F"/>
    <w:pPr>
      <w:pBdr>
        <w:bottom w:val="single" w:sz="4" w:space="4" w:color="00B8BD" w:themeColor="accent1"/>
      </w:pBdr>
      <w:spacing w:before="200" w:after="280"/>
      <w:ind w:left="936" w:right="936"/>
    </w:pPr>
    <w:rPr>
      <w:b/>
      <w:bCs/>
      <w:i/>
      <w:iCs/>
      <w:color w:val="00B8BD" w:themeColor="accent1"/>
    </w:rPr>
  </w:style>
  <w:style w:type="character" w:customStyle="1" w:styleId="IntenseQuoteChar">
    <w:name w:val="Intense Quote Char"/>
    <w:basedOn w:val="DefaultParagraphFont"/>
    <w:link w:val="IntenseQuote"/>
    <w:uiPriority w:val="30"/>
    <w:rsid w:val="00BD449F"/>
    <w:rPr>
      <w:rFonts w:asciiTheme="minorHAnsi" w:hAnsiTheme="minorHAnsi"/>
      <w:b/>
      <w:bCs/>
      <w:i/>
      <w:iCs/>
      <w:color w:val="00B8BD" w:themeColor="accent1"/>
      <w:lang w:val="en-AU" w:eastAsia="ja-JP"/>
    </w:rPr>
  </w:style>
  <w:style w:type="character" w:styleId="IntenseReference">
    <w:name w:val="Intense Reference"/>
    <w:basedOn w:val="DefaultParagraphFont"/>
    <w:uiPriority w:val="97"/>
    <w:semiHidden/>
    <w:rsid w:val="00BD449F"/>
    <w:rPr>
      <w:rFonts w:asciiTheme="minorHAnsi" w:hAnsiTheme="minorHAnsi"/>
      <w:b/>
      <w:bCs/>
      <w:smallCaps/>
      <w:color w:val="8DB93F" w:themeColor="accent2"/>
      <w:spacing w:val="5"/>
      <w:u w:val="single"/>
    </w:rPr>
  </w:style>
  <w:style w:type="table" w:styleId="LightGrid">
    <w:name w:val="Light Grid"/>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18" w:space="0" w:color="00B8BD" w:themeColor="accent1"/>
          <w:right w:val="single" w:sz="8" w:space="0" w:color="00B8BD" w:themeColor="accent1"/>
          <w:insideH w:val="nil"/>
          <w:insideV w:val="single" w:sz="8" w:space="0" w:color="00B8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insideH w:val="nil"/>
          <w:insideV w:val="single" w:sz="8" w:space="0" w:color="00B8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shd w:val="clear" w:color="auto" w:fill="AFFCFF" w:themeFill="accent1" w:themeFillTint="3F"/>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shd w:val="clear" w:color="auto" w:fill="AFFCFF" w:themeFill="accent1" w:themeFillTint="3F"/>
      </w:tcPr>
    </w:tblStylePr>
    <w:tblStylePr w:type="band2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insideV w:val="single" w:sz="8" w:space="0" w:color="00B8BD" w:themeColor="accent1"/>
        </w:tcBorders>
      </w:tcPr>
    </w:tblStylePr>
  </w:style>
  <w:style w:type="table" w:styleId="LightGrid-Accent2">
    <w:name w:val="Light Grid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18" w:space="0" w:color="8DB93F" w:themeColor="accent2"/>
          <w:right w:val="single" w:sz="8" w:space="0" w:color="8DB93F" w:themeColor="accent2"/>
          <w:insideH w:val="nil"/>
          <w:insideV w:val="single" w:sz="8" w:space="0" w:color="8DB9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insideH w:val="nil"/>
          <w:insideV w:val="single" w:sz="8" w:space="0" w:color="8DB9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shd w:val="clear" w:color="auto" w:fill="E2EECE" w:themeFill="accent2" w:themeFillTint="3F"/>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shd w:val="clear" w:color="auto" w:fill="E2EECE" w:themeFill="accent2" w:themeFillTint="3F"/>
      </w:tcPr>
    </w:tblStylePr>
    <w:tblStylePr w:type="band2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insideV w:val="single" w:sz="8" w:space="0" w:color="8DB93F" w:themeColor="accent2"/>
        </w:tcBorders>
      </w:tcPr>
    </w:tblStylePr>
  </w:style>
  <w:style w:type="table" w:styleId="LightGrid-Accent3">
    <w:name w:val="Light Grid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18" w:space="0" w:color="E0048B" w:themeColor="accent3"/>
          <w:right w:val="single" w:sz="8" w:space="0" w:color="E0048B" w:themeColor="accent3"/>
          <w:insideH w:val="nil"/>
          <w:insideV w:val="single" w:sz="8" w:space="0" w:color="E0048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insideH w:val="nil"/>
          <w:insideV w:val="single" w:sz="8" w:space="0" w:color="E0048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shd w:val="clear" w:color="auto" w:fill="FDBAE3" w:themeFill="accent3" w:themeFillTint="3F"/>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shd w:val="clear" w:color="auto" w:fill="FDBAE3" w:themeFill="accent3" w:themeFillTint="3F"/>
      </w:tcPr>
    </w:tblStylePr>
    <w:tblStylePr w:type="band2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insideV w:val="single" w:sz="8" w:space="0" w:color="E0048B" w:themeColor="accent3"/>
        </w:tcBorders>
      </w:tcPr>
    </w:tblStylePr>
  </w:style>
  <w:style w:type="table" w:styleId="LightGrid-Accent4">
    <w:name w:val="Light Grid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18" w:space="0" w:color="F8A034" w:themeColor="accent4"/>
          <w:right w:val="single" w:sz="8" w:space="0" w:color="F8A034" w:themeColor="accent4"/>
          <w:insideH w:val="nil"/>
          <w:insideV w:val="single" w:sz="8" w:space="0" w:color="F8A0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insideH w:val="nil"/>
          <w:insideV w:val="single" w:sz="8" w:space="0" w:color="F8A0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shd w:val="clear" w:color="auto" w:fill="FDE7CC" w:themeFill="accent4" w:themeFillTint="3F"/>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shd w:val="clear" w:color="auto" w:fill="FDE7CC" w:themeFill="accent4" w:themeFillTint="3F"/>
      </w:tcPr>
    </w:tblStylePr>
    <w:tblStylePr w:type="band2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insideV w:val="single" w:sz="8" w:space="0" w:color="F8A034" w:themeColor="accent4"/>
        </w:tcBorders>
      </w:tcPr>
    </w:tblStylePr>
  </w:style>
  <w:style w:type="table" w:styleId="LightGrid-Accent5">
    <w:name w:val="Light Grid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18" w:space="0" w:color="86509F" w:themeColor="accent5"/>
          <w:right w:val="single" w:sz="8" w:space="0" w:color="86509F" w:themeColor="accent5"/>
          <w:insideH w:val="nil"/>
          <w:insideV w:val="single" w:sz="8" w:space="0" w:color="86509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insideH w:val="nil"/>
          <w:insideV w:val="single" w:sz="8" w:space="0" w:color="86509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shd w:val="clear" w:color="auto" w:fill="E1D2E8" w:themeFill="accent5" w:themeFillTint="3F"/>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shd w:val="clear" w:color="auto" w:fill="E1D2E8" w:themeFill="accent5" w:themeFillTint="3F"/>
      </w:tcPr>
    </w:tblStylePr>
    <w:tblStylePr w:type="band2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insideV w:val="single" w:sz="8" w:space="0" w:color="86509F" w:themeColor="accent5"/>
        </w:tcBorders>
      </w:tcPr>
    </w:tblStylePr>
  </w:style>
  <w:style w:type="table" w:styleId="LightGrid-Accent6">
    <w:name w:val="Light Grid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18" w:space="0" w:color="E54F2F" w:themeColor="accent6"/>
          <w:right w:val="single" w:sz="8" w:space="0" w:color="E54F2F" w:themeColor="accent6"/>
          <w:insideH w:val="nil"/>
          <w:insideV w:val="single" w:sz="8" w:space="0" w:color="E54F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insideH w:val="nil"/>
          <w:insideV w:val="single" w:sz="8" w:space="0" w:color="E54F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shd w:val="clear" w:color="auto" w:fill="F8D3CB" w:themeFill="accent6" w:themeFillTint="3F"/>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shd w:val="clear" w:color="auto" w:fill="F8D3CB" w:themeFill="accent6" w:themeFillTint="3F"/>
      </w:tcPr>
    </w:tblStylePr>
    <w:tblStylePr w:type="band2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insideV w:val="single" w:sz="8" w:space="0" w:color="E54F2F" w:themeColor="accent6"/>
        </w:tcBorders>
      </w:tcPr>
    </w:tblStylePr>
  </w:style>
  <w:style w:type="table" w:styleId="LightList">
    <w:name w:val="Light List"/>
    <w:basedOn w:val="TableNormal"/>
    <w:uiPriority w:val="98"/>
    <w:rsid w:val="00BD44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D449F"/>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B8BD" w:themeFill="accent1"/>
      </w:tcPr>
    </w:tblStylePr>
    <w:tblStylePr w:type="lastRow">
      <w:pPr>
        <w:spacing w:before="0" w:after="0" w:line="240" w:lineRule="auto"/>
      </w:pPr>
      <w:rPr>
        <w:b/>
        <w:bCs/>
      </w:rPr>
      <w:tblPr/>
      <w:tcPr>
        <w:tcBorders>
          <w:top w:val="double" w:sz="6" w:space="0" w:color="00B8BD" w:themeColor="accent1"/>
          <w:left w:val="single" w:sz="8" w:space="0" w:color="00B8BD" w:themeColor="accent1"/>
          <w:bottom w:val="single" w:sz="8" w:space="0" w:color="00B8BD" w:themeColor="accent1"/>
          <w:right w:val="single" w:sz="8" w:space="0" w:color="00B8BD" w:themeColor="accent1"/>
        </w:tcBorders>
      </w:tcPr>
    </w:tblStylePr>
    <w:tblStylePr w:type="firstCol">
      <w:rPr>
        <w:b/>
        <w:bCs/>
      </w:rPr>
    </w:tblStylePr>
    <w:tblStylePr w:type="lastCol">
      <w:rPr>
        <w:b/>
        <w:bCs/>
      </w:rPr>
    </w:tblStylePr>
    <w:tblStylePr w:type="band1Vert">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tblStylePr w:type="band1Horz">
      <w:tblPr/>
      <w:tcPr>
        <w:tcBorders>
          <w:top w:val="single" w:sz="8" w:space="0" w:color="00B8BD" w:themeColor="accent1"/>
          <w:left w:val="single" w:sz="8" w:space="0" w:color="00B8BD" w:themeColor="accent1"/>
          <w:bottom w:val="single" w:sz="8" w:space="0" w:color="00B8BD" w:themeColor="accent1"/>
          <w:right w:val="single" w:sz="8" w:space="0" w:color="00B8BD" w:themeColor="accent1"/>
        </w:tcBorders>
      </w:tcPr>
    </w:tblStylePr>
  </w:style>
  <w:style w:type="table" w:styleId="LightList-Accent2">
    <w:name w:val="Light List Accent 2"/>
    <w:basedOn w:val="TableNormal"/>
    <w:uiPriority w:val="98"/>
    <w:rsid w:val="00BD449F"/>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DB93F" w:themeFill="accent2"/>
      </w:tcPr>
    </w:tblStylePr>
    <w:tblStylePr w:type="lastRow">
      <w:pPr>
        <w:spacing w:before="0" w:after="0" w:line="240" w:lineRule="auto"/>
      </w:pPr>
      <w:rPr>
        <w:b/>
        <w:bCs/>
      </w:rPr>
      <w:tblPr/>
      <w:tcPr>
        <w:tcBorders>
          <w:top w:val="double" w:sz="6" w:space="0" w:color="8DB93F" w:themeColor="accent2"/>
          <w:left w:val="single" w:sz="8" w:space="0" w:color="8DB93F" w:themeColor="accent2"/>
          <w:bottom w:val="single" w:sz="8" w:space="0" w:color="8DB93F" w:themeColor="accent2"/>
          <w:right w:val="single" w:sz="8" w:space="0" w:color="8DB93F" w:themeColor="accent2"/>
        </w:tcBorders>
      </w:tcPr>
    </w:tblStylePr>
    <w:tblStylePr w:type="firstCol">
      <w:rPr>
        <w:b/>
        <w:bCs/>
      </w:rPr>
    </w:tblStylePr>
    <w:tblStylePr w:type="lastCol">
      <w:rPr>
        <w:b/>
        <w:bCs/>
      </w:rPr>
    </w:tblStylePr>
    <w:tblStylePr w:type="band1Vert">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tblStylePr w:type="band1Horz">
      <w:tblPr/>
      <w:tcPr>
        <w:tcBorders>
          <w:top w:val="single" w:sz="8" w:space="0" w:color="8DB93F" w:themeColor="accent2"/>
          <w:left w:val="single" w:sz="8" w:space="0" w:color="8DB93F" w:themeColor="accent2"/>
          <w:bottom w:val="single" w:sz="8" w:space="0" w:color="8DB93F" w:themeColor="accent2"/>
          <w:right w:val="single" w:sz="8" w:space="0" w:color="8DB93F" w:themeColor="accent2"/>
        </w:tcBorders>
      </w:tcPr>
    </w:tblStylePr>
  </w:style>
  <w:style w:type="table" w:styleId="LightList-Accent3">
    <w:name w:val="Light List Accent 3"/>
    <w:basedOn w:val="TableNormal"/>
    <w:uiPriority w:val="98"/>
    <w:rsid w:val="00BD449F"/>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0048B" w:themeFill="accent3"/>
      </w:tcPr>
    </w:tblStylePr>
    <w:tblStylePr w:type="lastRow">
      <w:pPr>
        <w:spacing w:before="0" w:after="0" w:line="240" w:lineRule="auto"/>
      </w:pPr>
      <w:rPr>
        <w:b/>
        <w:bCs/>
      </w:rPr>
      <w:tblPr/>
      <w:tcPr>
        <w:tcBorders>
          <w:top w:val="double" w:sz="6" w:space="0" w:color="E0048B" w:themeColor="accent3"/>
          <w:left w:val="single" w:sz="8" w:space="0" w:color="E0048B" w:themeColor="accent3"/>
          <w:bottom w:val="single" w:sz="8" w:space="0" w:color="E0048B" w:themeColor="accent3"/>
          <w:right w:val="single" w:sz="8" w:space="0" w:color="E0048B" w:themeColor="accent3"/>
        </w:tcBorders>
      </w:tcPr>
    </w:tblStylePr>
    <w:tblStylePr w:type="firstCol">
      <w:rPr>
        <w:b/>
        <w:bCs/>
      </w:rPr>
    </w:tblStylePr>
    <w:tblStylePr w:type="lastCol">
      <w:rPr>
        <w:b/>
        <w:bCs/>
      </w:rPr>
    </w:tblStylePr>
    <w:tblStylePr w:type="band1Vert">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tblStylePr w:type="band1Horz">
      <w:tblPr/>
      <w:tcPr>
        <w:tcBorders>
          <w:top w:val="single" w:sz="8" w:space="0" w:color="E0048B" w:themeColor="accent3"/>
          <w:left w:val="single" w:sz="8" w:space="0" w:color="E0048B" w:themeColor="accent3"/>
          <w:bottom w:val="single" w:sz="8" w:space="0" w:color="E0048B" w:themeColor="accent3"/>
          <w:right w:val="single" w:sz="8" w:space="0" w:color="E0048B" w:themeColor="accent3"/>
        </w:tcBorders>
      </w:tcPr>
    </w:tblStylePr>
  </w:style>
  <w:style w:type="table" w:styleId="LightList-Accent4">
    <w:name w:val="Light List Accent 4"/>
    <w:basedOn w:val="TableNormal"/>
    <w:uiPriority w:val="98"/>
    <w:rsid w:val="00BD449F"/>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8A034" w:themeFill="accent4"/>
      </w:tcPr>
    </w:tblStylePr>
    <w:tblStylePr w:type="lastRow">
      <w:pPr>
        <w:spacing w:before="0" w:after="0" w:line="240" w:lineRule="auto"/>
      </w:pPr>
      <w:rPr>
        <w:b/>
        <w:bCs/>
      </w:rPr>
      <w:tblPr/>
      <w:tcPr>
        <w:tcBorders>
          <w:top w:val="double" w:sz="6" w:space="0" w:color="F8A034" w:themeColor="accent4"/>
          <w:left w:val="single" w:sz="8" w:space="0" w:color="F8A034" w:themeColor="accent4"/>
          <w:bottom w:val="single" w:sz="8" w:space="0" w:color="F8A034" w:themeColor="accent4"/>
          <w:right w:val="single" w:sz="8" w:space="0" w:color="F8A034" w:themeColor="accent4"/>
        </w:tcBorders>
      </w:tcPr>
    </w:tblStylePr>
    <w:tblStylePr w:type="firstCol">
      <w:rPr>
        <w:b/>
        <w:bCs/>
      </w:rPr>
    </w:tblStylePr>
    <w:tblStylePr w:type="lastCol">
      <w:rPr>
        <w:b/>
        <w:bCs/>
      </w:rPr>
    </w:tblStylePr>
    <w:tblStylePr w:type="band1Vert">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tblStylePr w:type="band1Horz">
      <w:tblPr/>
      <w:tcPr>
        <w:tcBorders>
          <w:top w:val="single" w:sz="8" w:space="0" w:color="F8A034" w:themeColor="accent4"/>
          <w:left w:val="single" w:sz="8" w:space="0" w:color="F8A034" w:themeColor="accent4"/>
          <w:bottom w:val="single" w:sz="8" w:space="0" w:color="F8A034" w:themeColor="accent4"/>
          <w:right w:val="single" w:sz="8" w:space="0" w:color="F8A034" w:themeColor="accent4"/>
        </w:tcBorders>
      </w:tcPr>
    </w:tblStylePr>
  </w:style>
  <w:style w:type="table" w:styleId="LightList-Accent5">
    <w:name w:val="Light List Accent 5"/>
    <w:basedOn w:val="TableNormal"/>
    <w:uiPriority w:val="98"/>
    <w:rsid w:val="00BD449F"/>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6509F" w:themeFill="accent5"/>
      </w:tcPr>
    </w:tblStylePr>
    <w:tblStylePr w:type="lastRow">
      <w:pPr>
        <w:spacing w:before="0" w:after="0" w:line="240" w:lineRule="auto"/>
      </w:pPr>
      <w:rPr>
        <w:b/>
        <w:bCs/>
      </w:rPr>
      <w:tblPr/>
      <w:tcPr>
        <w:tcBorders>
          <w:top w:val="double" w:sz="6" w:space="0" w:color="86509F" w:themeColor="accent5"/>
          <w:left w:val="single" w:sz="8" w:space="0" w:color="86509F" w:themeColor="accent5"/>
          <w:bottom w:val="single" w:sz="8" w:space="0" w:color="86509F" w:themeColor="accent5"/>
          <w:right w:val="single" w:sz="8" w:space="0" w:color="86509F" w:themeColor="accent5"/>
        </w:tcBorders>
      </w:tcPr>
    </w:tblStylePr>
    <w:tblStylePr w:type="firstCol">
      <w:rPr>
        <w:b/>
        <w:bCs/>
      </w:rPr>
    </w:tblStylePr>
    <w:tblStylePr w:type="lastCol">
      <w:rPr>
        <w:b/>
        <w:bCs/>
      </w:rPr>
    </w:tblStylePr>
    <w:tblStylePr w:type="band1Vert">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tblStylePr w:type="band1Horz">
      <w:tblPr/>
      <w:tcPr>
        <w:tcBorders>
          <w:top w:val="single" w:sz="8" w:space="0" w:color="86509F" w:themeColor="accent5"/>
          <w:left w:val="single" w:sz="8" w:space="0" w:color="86509F" w:themeColor="accent5"/>
          <w:bottom w:val="single" w:sz="8" w:space="0" w:color="86509F" w:themeColor="accent5"/>
          <w:right w:val="single" w:sz="8" w:space="0" w:color="86509F" w:themeColor="accent5"/>
        </w:tcBorders>
      </w:tcPr>
    </w:tblStylePr>
  </w:style>
  <w:style w:type="table" w:styleId="LightList-Accent6">
    <w:name w:val="Light List Accent 6"/>
    <w:basedOn w:val="TableNormal"/>
    <w:uiPriority w:val="98"/>
    <w:rsid w:val="00BD449F"/>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54F2F" w:themeFill="accent6"/>
      </w:tcPr>
    </w:tblStylePr>
    <w:tblStylePr w:type="lastRow">
      <w:pPr>
        <w:spacing w:before="0" w:after="0" w:line="240" w:lineRule="auto"/>
      </w:pPr>
      <w:rPr>
        <w:b/>
        <w:bCs/>
      </w:rPr>
      <w:tblPr/>
      <w:tcPr>
        <w:tcBorders>
          <w:top w:val="double" w:sz="6" w:space="0" w:color="E54F2F" w:themeColor="accent6"/>
          <w:left w:val="single" w:sz="8" w:space="0" w:color="E54F2F" w:themeColor="accent6"/>
          <w:bottom w:val="single" w:sz="8" w:space="0" w:color="E54F2F" w:themeColor="accent6"/>
          <w:right w:val="single" w:sz="8" w:space="0" w:color="E54F2F" w:themeColor="accent6"/>
        </w:tcBorders>
      </w:tcPr>
    </w:tblStylePr>
    <w:tblStylePr w:type="firstCol">
      <w:rPr>
        <w:b/>
        <w:bCs/>
      </w:rPr>
    </w:tblStylePr>
    <w:tblStylePr w:type="lastCol">
      <w:rPr>
        <w:b/>
        <w:bCs/>
      </w:rPr>
    </w:tblStylePr>
    <w:tblStylePr w:type="band1Vert">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tblStylePr w:type="band1Horz">
      <w:tblPr/>
      <w:tcPr>
        <w:tcBorders>
          <w:top w:val="single" w:sz="8" w:space="0" w:color="E54F2F" w:themeColor="accent6"/>
          <w:left w:val="single" w:sz="8" w:space="0" w:color="E54F2F" w:themeColor="accent6"/>
          <w:bottom w:val="single" w:sz="8" w:space="0" w:color="E54F2F" w:themeColor="accent6"/>
          <w:right w:val="single" w:sz="8" w:space="0" w:color="E54F2F" w:themeColor="accent6"/>
        </w:tcBorders>
      </w:tcPr>
    </w:tblStylePr>
  </w:style>
  <w:style w:type="table" w:styleId="LightShading">
    <w:name w:val="Light Shading"/>
    <w:basedOn w:val="TableNormal"/>
    <w:uiPriority w:val="98"/>
    <w:rsid w:val="00BD449F"/>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D449F"/>
    <w:rPr>
      <w:color w:val="00898D" w:themeColor="accent1" w:themeShade="BF"/>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B8BD" w:themeColor="accent1"/>
          <w:left w:val="nil"/>
          <w:bottom w:val="single" w:sz="8" w:space="0" w:color="00B8BD" w:themeColor="accent1"/>
          <w:right w:val="nil"/>
          <w:insideH w:val="nil"/>
          <w:insideV w:val="nil"/>
        </w:tcBorders>
      </w:tcPr>
    </w:tblStylePr>
    <w:tblStylePr w:type="lastRow">
      <w:pPr>
        <w:spacing w:before="0" w:after="0" w:line="240" w:lineRule="auto"/>
      </w:pPr>
      <w:rPr>
        <w:b/>
        <w:bCs/>
      </w:rPr>
      <w:tblPr/>
      <w:tcPr>
        <w:tcBorders>
          <w:top w:val="single" w:sz="8" w:space="0" w:color="00B8BD" w:themeColor="accent1"/>
          <w:left w:val="nil"/>
          <w:bottom w:val="single" w:sz="8" w:space="0" w:color="00B8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left w:val="nil"/>
          <w:right w:val="nil"/>
          <w:insideH w:val="nil"/>
          <w:insideV w:val="nil"/>
        </w:tcBorders>
        <w:shd w:val="clear" w:color="auto" w:fill="AFFCFF" w:themeFill="accent1" w:themeFillTint="3F"/>
      </w:tcPr>
    </w:tblStylePr>
  </w:style>
  <w:style w:type="table" w:styleId="LightShading-Accent2">
    <w:name w:val="Light Shading Accent 2"/>
    <w:basedOn w:val="TableNormal"/>
    <w:uiPriority w:val="98"/>
    <w:rsid w:val="00BD449F"/>
    <w:rPr>
      <w:color w:val="698A2F" w:themeColor="accent2" w:themeShade="BF"/>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DB93F" w:themeColor="accent2"/>
          <w:left w:val="nil"/>
          <w:bottom w:val="single" w:sz="8" w:space="0" w:color="8DB93F" w:themeColor="accent2"/>
          <w:right w:val="nil"/>
          <w:insideH w:val="nil"/>
          <w:insideV w:val="nil"/>
        </w:tcBorders>
      </w:tcPr>
    </w:tblStylePr>
    <w:tblStylePr w:type="lastRow">
      <w:pPr>
        <w:spacing w:before="0" w:after="0" w:line="240" w:lineRule="auto"/>
      </w:pPr>
      <w:rPr>
        <w:b/>
        <w:bCs/>
      </w:rPr>
      <w:tblPr/>
      <w:tcPr>
        <w:tcBorders>
          <w:top w:val="single" w:sz="8" w:space="0" w:color="8DB93F" w:themeColor="accent2"/>
          <w:left w:val="nil"/>
          <w:bottom w:val="single" w:sz="8" w:space="0" w:color="8DB9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left w:val="nil"/>
          <w:right w:val="nil"/>
          <w:insideH w:val="nil"/>
          <w:insideV w:val="nil"/>
        </w:tcBorders>
        <w:shd w:val="clear" w:color="auto" w:fill="E2EECE" w:themeFill="accent2" w:themeFillTint="3F"/>
      </w:tcPr>
    </w:tblStylePr>
  </w:style>
  <w:style w:type="table" w:styleId="LightShading-Accent3">
    <w:name w:val="Light Shading Accent 3"/>
    <w:basedOn w:val="TableNormal"/>
    <w:uiPriority w:val="98"/>
    <w:rsid w:val="00BD449F"/>
    <w:rPr>
      <w:color w:val="A70367" w:themeColor="accent3" w:themeShade="BF"/>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0048B" w:themeColor="accent3"/>
          <w:left w:val="nil"/>
          <w:bottom w:val="single" w:sz="8" w:space="0" w:color="E0048B" w:themeColor="accent3"/>
          <w:right w:val="nil"/>
          <w:insideH w:val="nil"/>
          <w:insideV w:val="nil"/>
        </w:tcBorders>
      </w:tcPr>
    </w:tblStylePr>
    <w:tblStylePr w:type="lastRow">
      <w:pPr>
        <w:spacing w:before="0" w:after="0" w:line="240" w:lineRule="auto"/>
      </w:pPr>
      <w:rPr>
        <w:b/>
        <w:bCs/>
      </w:rPr>
      <w:tblPr/>
      <w:tcPr>
        <w:tcBorders>
          <w:top w:val="single" w:sz="8" w:space="0" w:color="E0048B" w:themeColor="accent3"/>
          <w:left w:val="nil"/>
          <w:bottom w:val="single" w:sz="8" w:space="0" w:color="E0048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left w:val="nil"/>
          <w:right w:val="nil"/>
          <w:insideH w:val="nil"/>
          <w:insideV w:val="nil"/>
        </w:tcBorders>
        <w:shd w:val="clear" w:color="auto" w:fill="FDBAE3" w:themeFill="accent3" w:themeFillTint="3F"/>
      </w:tcPr>
    </w:tblStylePr>
  </w:style>
  <w:style w:type="table" w:styleId="LightShading-Accent4">
    <w:name w:val="Light Shading Accent 4"/>
    <w:basedOn w:val="TableNormal"/>
    <w:uiPriority w:val="98"/>
    <w:rsid w:val="00BD449F"/>
    <w:rPr>
      <w:color w:val="D97A07" w:themeColor="accent4" w:themeShade="BF"/>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8A034" w:themeColor="accent4"/>
          <w:left w:val="nil"/>
          <w:bottom w:val="single" w:sz="8" w:space="0" w:color="F8A034" w:themeColor="accent4"/>
          <w:right w:val="nil"/>
          <w:insideH w:val="nil"/>
          <w:insideV w:val="nil"/>
        </w:tcBorders>
      </w:tcPr>
    </w:tblStylePr>
    <w:tblStylePr w:type="lastRow">
      <w:pPr>
        <w:spacing w:before="0" w:after="0" w:line="240" w:lineRule="auto"/>
      </w:pPr>
      <w:rPr>
        <w:b/>
        <w:bCs/>
      </w:rPr>
      <w:tblPr/>
      <w:tcPr>
        <w:tcBorders>
          <w:top w:val="single" w:sz="8" w:space="0" w:color="F8A034" w:themeColor="accent4"/>
          <w:left w:val="nil"/>
          <w:bottom w:val="single" w:sz="8" w:space="0" w:color="F8A0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left w:val="nil"/>
          <w:right w:val="nil"/>
          <w:insideH w:val="nil"/>
          <w:insideV w:val="nil"/>
        </w:tcBorders>
        <w:shd w:val="clear" w:color="auto" w:fill="FDE7CC" w:themeFill="accent4" w:themeFillTint="3F"/>
      </w:tcPr>
    </w:tblStylePr>
  </w:style>
  <w:style w:type="table" w:styleId="LightShading-Accent5">
    <w:name w:val="Light Shading Accent 5"/>
    <w:basedOn w:val="TableNormal"/>
    <w:uiPriority w:val="98"/>
    <w:rsid w:val="00BD449F"/>
    <w:rPr>
      <w:color w:val="643C77" w:themeColor="accent5" w:themeShade="BF"/>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6509F" w:themeColor="accent5"/>
          <w:left w:val="nil"/>
          <w:bottom w:val="single" w:sz="8" w:space="0" w:color="86509F" w:themeColor="accent5"/>
          <w:right w:val="nil"/>
          <w:insideH w:val="nil"/>
          <w:insideV w:val="nil"/>
        </w:tcBorders>
      </w:tcPr>
    </w:tblStylePr>
    <w:tblStylePr w:type="lastRow">
      <w:pPr>
        <w:spacing w:before="0" w:after="0" w:line="240" w:lineRule="auto"/>
      </w:pPr>
      <w:rPr>
        <w:b/>
        <w:bCs/>
      </w:rPr>
      <w:tblPr/>
      <w:tcPr>
        <w:tcBorders>
          <w:top w:val="single" w:sz="8" w:space="0" w:color="86509F" w:themeColor="accent5"/>
          <w:left w:val="nil"/>
          <w:bottom w:val="single" w:sz="8" w:space="0" w:color="86509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left w:val="nil"/>
          <w:right w:val="nil"/>
          <w:insideH w:val="nil"/>
          <w:insideV w:val="nil"/>
        </w:tcBorders>
        <w:shd w:val="clear" w:color="auto" w:fill="E1D2E8" w:themeFill="accent5" w:themeFillTint="3F"/>
      </w:tcPr>
    </w:tblStylePr>
  </w:style>
  <w:style w:type="table" w:styleId="LightShading-Accent6">
    <w:name w:val="Light Shading Accent 6"/>
    <w:basedOn w:val="TableNormal"/>
    <w:uiPriority w:val="98"/>
    <w:rsid w:val="00BD449F"/>
    <w:rPr>
      <w:color w:val="B73217" w:themeColor="accent6" w:themeShade="BF"/>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54F2F" w:themeColor="accent6"/>
          <w:left w:val="nil"/>
          <w:bottom w:val="single" w:sz="8" w:space="0" w:color="E54F2F" w:themeColor="accent6"/>
          <w:right w:val="nil"/>
          <w:insideH w:val="nil"/>
          <w:insideV w:val="nil"/>
        </w:tcBorders>
      </w:tcPr>
    </w:tblStylePr>
    <w:tblStylePr w:type="lastRow">
      <w:pPr>
        <w:spacing w:before="0" w:after="0" w:line="240" w:lineRule="auto"/>
      </w:pPr>
      <w:rPr>
        <w:b/>
        <w:bCs/>
      </w:rPr>
      <w:tblPr/>
      <w:tcPr>
        <w:tcBorders>
          <w:top w:val="single" w:sz="8" w:space="0" w:color="E54F2F" w:themeColor="accent6"/>
          <w:left w:val="nil"/>
          <w:bottom w:val="single" w:sz="8" w:space="0" w:color="E54F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left w:val="nil"/>
          <w:right w:val="nil"/>
          <w:insideH w:val="nil"/>
          <w:insideV w:val="nil"/>
        </w:tcBorders>
        <w:shd w:val="clear" w:color="auto" w:fill="F8D3CB" w:themeFill="accent6" w:themeFillTint="3F"/>
      </w:tcPr>
    </w:tblStylePr>
  </w:style>
  <w:style w:type="character" w:styleId="LineNumber">
    <w:name w:val="line number"/>
    <w:basedOn w:val="DefaultParagraphFont"/>
    <w:uiPriority w:val="97"/>
    <w:semiHidden/>
    <w:rsid w:val="00BD449F"/>
    <w:rPr>
      <w:rFonts w:asciiTheme="minorHAnsi" w:hAnsiTheme="minorHAnsi"/>
    </w:rPr>
  </w:style>
  <w:style w:type="paragraph" w:styleId="List">
    <w:name w:val="List"/>
    <w:basedOn w:val="Normal"/>
    <w:uiPriority w:val="4"/>
    <w:semiHidden/>
    <w:rsid w:val="00BD449F"/>
    <w:pPr>
      <w:ind w:left="283" w:hanging="283"/>
      <w:contextualSpacing/>
    </w:pPr>
  </w:style>
  <w:style w:type="paragraph" w:styleId="List2">
    <w:name w:val="List 2"/>
    <w:basedOn w:val="Normal"/>
    <w:uiPriority w:val="4"/>
    <w:semiHidden/>
    <w:rsid w:val="00BD449F"/>
    <w:pPr>
      <w:ind w:left="566" w:hanging="283"/>
      <w:contextualSpacing/>
    </w:pPr>
  </w:style>
  <w:style w:type="paragraph" w:styleId="List3">
    <w:name w:val="List 3"/>
    <w:basedOn w:val="Normal"/>
    <w:uiPriority w:val="4"/>
    <w:semiHidden/>
    <w:rsid w:val="00BD449F"/>
    <w:pPr>
      <w:ind w:left="849" w:hanging="283"/>
      <w:contextualSpacing/>
    </w:pPr>
  </w:style>
  <w:style w:type="paragraph" w:styleId="List4">
    <w:name w:val="List 4"/>
    <w:basedOn w:val="Normal"/>
    <w:uiPriority w:val="4"/>
    <w:semiHidden/>
    <w:rsid w:val="00BD449F"/>
    <w:pPr>
      <w:ind w:left="1132" w:hanging="283"/>
      <w:contextualSpacing/>
    </w:pPr>
  </w:style>
  <w:style w:type="paragraph" w:styleId="List5">
    <w:name w:val="List 5"/>
    <w:basedOn w:val="Normal"/>
    <w:uiPriority w:val="4"/>
    <w:semiHidden/>
    <w:rsid w:val="00BD449F"/>
    <w:pPr>
      <w:ind w:left="1415" w:hanging="283"/>
      <w:contextualSpacing/>
    </w:pPr>
  </w:style>
  <w:style w:type="paragraph" w:styleId="ListBullet2">
    <w:name w:val="List Bullet 2"/>
    <w:basedOn w:val="Normal"/>
    <w:uiPriority w:val="2"/>
    <w:qFormat/>
    <w:rsid w:val="00BD449F"/>
    <w:pPr>
      <w:numPr>
        <w:numId w:val="2"/>
      </w:numPr>
      <w:contextualSpacing/>
    </w:pPr>
  </w:style>
  <w:style w:type="paragraph" w:styleId="ListBullet3">
    <w:name w:val="List Bullet 3"/>
    <w:basedOn w:val="Normal"/>
    <w:uiPriority w:val="2"/>
    <w:semiHidden/>
    <w:rsid w:val="00BD449F"/>
    <w:pPr>
      <w:numPr>
        <w:numId w:val="3"/>
      </w:numPr>
      <w:contextualSpacing/>
    </w:pPr>
  </w:style>
  <w:style w:type="paragraph" w:styleId="ListBullet4">
    <w:name w:val="List Bullet 4"/>
    <w:basedOn w:val="Normal"/>
    <w:uiPriority w:val="2"/>
    <w:semiHidden/>
    <w:rsid w:val="00BD449F"/>
    <w:pPr>
      <w:numPr>
        <w:numId w:val="4"/>
      </w:numPr>
      <w:contextualSpacing/>
    </w:pPr>
  </w:style>
  <w:style w:type="paragraph" w:styleId="ListBullet5">
    <w:name w:val="List Bullet 5"/>
    <w:basedOn w:val="Normal"/>
    <w:uiPriority w:val="2"/>
    <w:semiHidden/>
    <w:rsid w:val="00BD449F"/>
    <w:pPr>
      <w:numPr>
        <w:numId w:val="5"/>
      </w:numPr>
      <w:contextualSpacing/>
    </w:pPr>
  </w:style>
  <w:style w:type="paragraph" w:styleId="ListContinue">
    <w:name w:val="List Continue"/>
    <w:basedOn w:val="Normal"/>
    <w:uiPriority w:val="10"/>
    <w:semiHidden/>
    <w:rsid w:val="00BD449F"/>
    <w:pPr>
      <w:spacing w:after="120"/>
      <w:ind w:left="283"/>
      <w:contextualSpacing/>
    </w:pPr>
  </w:style>
  <w:style w:type="paragraph" w:styleId="ListContinue2">
    <w:name w:val="List Continue 2"/>
    <w:basedOn w:val="Normal"/>
    <w:uiPriority w:val="10"/>
    <w:semiHidden/>
    <w:rsid w:val="00BD449F"/>
    <w:pPr>
      <w:spacing w:after="120"/>
      <w:ind w:left="566"/>
      <w:contextualSpacing/>
    </w:pPr>
  </w:style>
  <w:style w:type="paragraph" w:styleId="ListContinue3">
    <w:name w:val="List Continue 3"/>
    <w:basedOn w:val="Normal"/>
    <w:uiPriority w:val="10"/>
    <w:semiHidden/>
    <w:rsid w:val="00BD449F"/>
    <w:pPr>
      <w:spacing w:after="120"/>
      <w:ind w:left="849"/>
      <w:contextualSpacing/>
    </w:pPr>
  </w:style>
  <w:style w:type="paragraph" w:styleId="ListContinue4">
    <w:name w:val="List Continue 4"/>
    <w:basedOn w:val="Normal"/>
    <w:uiPriority w:val="10"/>
    <w:semiHidden/>
    <w:rsid w:val="00BD449F"/>
    <w:pPr>
      <w:spacing w:after="120"/>
      <w:ind w:left="1132"/>
      <w:contextualSpacing/>
    </w:pPr>
  </w:style>
  <w:style w:type="paragraph" w:styleId="ListContinue5">
    <w:name w:val="List Continue 5"/>
    <w:basedOn w:val="Normal"/>
    <w:uiPriority w:val="10"/>
    <w:semiHidden/>
    <w:rsid w:val="00BD449F"/>
    <w:pPr>
      <w:spacing w:after="120"/>
      <w:ind w:left="1415"/>
      <w:contextualSpacing/>
    </w:pPr>
  </w:style>
  <w:style w:type="paragraph" w:styleId="ListNumber">
    <w:name w:val="List Number"/>
    <w:basedOn w:val="Normal"/>
    <w:uiPriority w:val="3"/>
    <w:qFormat/>
    <w:rsid w:val="00BD449F"/>
    <w:pPr>
      <w:numPr>
        <w:numId w:val="6"/>
      </w:numPr>
      <w:contextualSpacing/>
    </w:pPr>
  </w:style>
  <w:style w:type="paragraph" w:styleId="ListNumber2">
    <w:name w:val="List Number 2"/>
    <w:basedOn w:val="Normal"/>
    <w:uiPriority w:val="3"/>
    <w:qFormat/>
    <w:rsid w:val="00BD449F"/>
    <w:pPr>
      <w:numPr>
        <w:numId w:val="7"/>
      </w:numPr>
      <w:contextualSpacing/>
    </w:pPr>
  </w:style>
  <w:style w:type="paragraph" w:styleId="ListNumber3">
    <w:name w:val="List Number 3"/>
    <w:basedOn w:val="Normal"/>
    <w:uiPriority w:val="3"/>
    <w:semiHidden/>
    <w:rsid w:val="00BD449F"/>
    <w:pPr>
      <w:numPr>
        <w:numId w:val="8"/>
      </w:numPr>
      <w:contextualSpacing/>
    </w:pPr>
  </w:style>
  <w:style w:type="paragraph" w:styleId="ListNumber4">
    <w:name w:val="List Number 4"/>
    <w:basedOn w:val="Normal"/>
    <w:uiPriority w:val="3"/>
    <w:semiHidden/>
    <w:rsid w:val="00BD449F"/>
    <w:pPr>
      <w:numPr>
        <w:numId w:val="9"/>
      </w:numPr>
      <w:contextualSpacing/>
    </w:pPr>
  </w:style>
  <w:style w:type="paragraph" w:styleId="ListNumber5">
    <w:name w:val="List Number 5"/>
    <w:basedOn w:val="Normal"/>
    <w:uiPriority w:val="3"/>
    <w:semiHidden/>
    <w:rsid w:val="00BD449F"/>
    <w:pPr>
      <w:numPr>
        <w:numId w:val="10"/>
      </w:numPr>
      <w:contextualSpacing/>
    </w:pPr>
  </w:style>
  <w:style w:type="paragraph" w:styleId="ListParagraph">
    <w:name w:val="List Paragraph"/>
    <w:basedOn w:val="Normal"/>
    <w:uiPriority w:val="4"/>
    <w:semiHidden/>
    <w:rsid w:val="00BD449F"/>
    <w:pPr>
      <w:ind w:left="720"/>
      <w:contextualSpacing/>
    </w:pPr>
  </w:style>
  <w:style w:type="paragraph" w:styleId="MacroText">
    <w:name w:val="macro"/>
    <w:link w:val="MacroTextChar"/>
    <w:uiPriority w:val="97"/>
    <w:semiHidden/>
    <w:rsid w:val="00BD449F"/>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Consolas"/>
      <w:lang w:val="en-AU" w:eastAsia="ja-JP"/>
    </w:rPr>
  </w:style>
  <w:style w:type="character" w:customStyle="1" w:styleId="MacroTextChar">
    <w:name w:val="Macro Text Char"/>
    <w:basedOn w:val="DefaultParagraphFont"/>
    <w:link w:val="MacroText"/>
    <w:rsid w:val="00BD449F"/>
    <w:rPr>
      <w:rFonts w:asciiTheme="minorHAnsi" w:hAnsiTheme="minorHAnsi" w:cs="Consolas"/>
      <w:lang w:val="en-AU" w:eastAsia="ja-JP"/>
    </w:rPr>
  </w:style>
  <w:style w:type="table" w:styleId="MediumGrid1">
    <w:name w:val="Medium Grid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insideV w:val="single" w:sz="8" w:space="0" w:color="0EF8FF" w:themeColor="accent1" w:themeTint="BF"/>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EF8FF" w:themeColor="accent1" w:themeTint="BF"/>
        </w:tcBorders>
      </w:tcPr>
    </w:tblStylePr>
    <w:tblStylePr w:type="firstCol">
      <w:rPr>
        <w:b/>
        <w:bCs/>
      </w:rPr>
    </w:tblStylePr>
    <w:tblStylePr w:type="lastCol">
      <w:rPr>
        <w:b/>
        <w:bCs/>
      </w:rPr>
    </w:tblStylePr>
    <w:tblStylePr w:type="band1Vert">
      <w:tblPr/>
      <w:tcPr>
        <w:shd w:val="clear" w:color="auto" w:fill="5FFAFF" w:themeFill="accent1" w:themeFillTint="7F"/>
      </w:tcPr>
    </w:tblStylePr>
    <w:tblStylePr w:type="band1Horz">
      <w:tblPr/>
      <w:tcPr>
        <w:shd w:val="clear" w:color="auto" w:fill="5FFAFF" w:themeFill="accent1" w:themeFillTint="7F"/>
      </w:tcPr>
    </w:tblStylePr>
  </w:style>
  <w:style w:type="table" w:styleId="MediumGrid1-Accent2">
    <w:name w:val="Medium Grid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insideV w:val="single" w:sz="8" w:space="0" w:color="AACD6C" w:themeColor="accent2" w:themeTint="BF"/>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ACD6C" w:themeColor="accent2" w:themeTint="BF"/>
        </w:tcBorders>
      </w:tcPr>
    </w:tblStylePr>
    <w:tblStylePr w:type="firstCol">
      <w:rPr>
        <w:b/>
        <w:bCs/>
      </w:rPr>
    </w:tblStylePr>
    <w:tblStylePr w:type="lastCol">
      <w:rPr>
        <w:b/>
        <w:bCs/>
      </w:rPr>
    </w:tblStylePr>
    <w:tblStylePr w:type="band1Vert">
      <w:tblPr/>
      <w:tcPr>
        <w:shd w:val="clear" w:color="auto" w:fill="C6DD9D" w:themeFill="accent2" w:themeFillTint="7F"/>
      </w:tcPr>
    </w:tblStylePr>
    <w:tblStylePr w:type="band1Horz">
      <w:tblPr/>
      <w:tcPr>
        <w:shd w:val="clear" w:color="auto" w:fill="C6DD9D" w:themeFill="accent2" w:themeFillTint="7F"/>
      </w:tcPr>
    </w:tblStylePr>
  </w:style>
  <w:style w:type="table" w:styleId="MediumGrid1-Accent3">
    <w:name w:val="Medium Grid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insideV w:val="single" w:sz="8" w:space="0" w:color="FB2FAC" w:themeColor="accent3" w:themeTint="BF"/>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B2FAC" w:themeColor="accent3" w:themeTint="BF"/>
        </w:tcBorders>
      </w:tcPr>
    </w:tblStylePr>
    <w:tblStylePr w:type="firstCol">
      <w:rPr>
        <w:b/>
        <w:bCs/>
      </w:rPr>
    </w:tblStylePr>
    <w:tblStylePr w:type="lastCol">
      <w:rPr>
        <w:b/>
        <w:bCs/>
      </w:rPr>
    </w:tblStylePr>
    <w:tblStylePr w:type="band1Vert">
      <w:tblPr/>
      <w:tcPr>
        <w:shd w:val="clear" w:color="auto" w:fill="FC74C7" w:themeFill="accent3" w:themeFillTint="7F"/>
      </w:tcPr>
    </w:tblStylePr>
    <w:tblStylePr w:type="band1Horz">
      <w:tblPr/>
      <w:tcPr>
        <w:shd w:val="clear" w:color="auto" w:fill="FC74C7" w:themeFill="accent3" w:themeFillTint="7F"/>
      </w:tcPr>
    </w:tblStylePr>
  </w:style>
  <w:style w:type="table" w:styleId="MediumGrid1-Accent4">
    <w:name w:val="Medium Grid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insideV w:val="single" w:sz="8" w:space="0" w:color="F9B766" w:themeColor="accent4" w:themeTint="BF"/>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766" w:themeColor="accent4" w:themeTint="BF"/>
        </w:tcBorders>
      </w:tcPr>
    </w:tblStylePr>
    <w:tblStylePr w:type="firstCol">
      <w:rPr>
        <w:b/>
        <w:bCs/>
      </w:rPr>
    </w:tblStylePr>
    <w:tblStylePr w:type="lastCol">
      <w:rPr>
        <w:b/>
        <w:bCs/>
      </w:rPr>
    </w:tblStylePr>
    <w:tblStylePr w:type="band1Vert">
      <w:tblPr/>
      <w:tcPr>
        <w:shd w:val="clear" w:color="auto" w:fill="FBCF99" w:themeFill="accent4" w:themeFillTint="7F"/>
      </w:tcPr>
    </w:tblStylePr>
    <w:tblStylePr w:type="band1Horz">
      <w:tblPr/>
      <w:tcPr>
        <w:shd w:val="clear" w:color="auto" w:fill="FBCF99" w:themeFill="accent4" w:themeFillTint="7F"/>
      </w:tcPr>
    </w:tblStylePr>
  </w:style>
  <w:style w:type="table" w:styleId="MediumGrid1-Accent5">
    <w:name w:val="Medium Grid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insideV w:val="single" w:sz="8" w:space="0" w:color="A577BB" w:themeColor="accent5" w:themeTint="BF"/>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577BB" w:themeColor="accent5" w:themeTint="BF"/>
        </w:tcBorders>
      </w:tcPr>
    </w:tblStylePr>
    <w:tblStylePr w:type="firstCol">
      <w:rPr>
        <w:b/>
        <w:bCs/>
      </w:rPr>
    </w:tblStylePr>
    <w:tblStylePr w:type="lastCol">
      <w:rPr>
        <w:b/>
        <w:bCs/>
      </w:rPr>
    </w:tblStylePr>
    <w:tblStylePr w:type="band1Vert">
      <w:tblPr/>
      <w:tcPr>
        <w:shd w:val="clear" w:color="auto" w:fill="C3A5D1" w:themeFill="accent5" w:themeFillTint="7F"/>
      </w:tcPr>
    </w:tblStylePr>
    <w:tblStylePr w:type="band1Horz">
      <w:tblPr/>
      <w:tcPr>
        <w:shd w:val="clear" w:color="auto" w:fill="C3A5D1" w:themeFill="accent5" w:themeFillTint="7F"/>
      </w:tcPr>
    </w:tblStylePr>
  </w:style>
  <w:style w:type="table" w:styleId="MediumGrid1-Accent6">
    <w:name w:val="Medium Grid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insideV w:val="single" w:sz="8" w:space="0" w:color="EB7A63" w:themeColor="accent6" w:themeTint="BF"/>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7A63" w:themeColor="accent6" w:themeTint="BF"/>
        </w:tcBorders>
      </w:tcPr>
    </w:tblStylePr>
    <w:tblStylePr w:type="firstCol">
      <w:rPr>
        <w:b/>
        <w:bCs/>
      </w:rPr>
    </w:tblStylePr>
    <w:tblStylePr w:type="lastCol">
      <w:rPr>
        <w:b/>
        <w:bCs/>
      </w:rPr>
    </w:tblStylePr>
    <w:tblStylePr w:type="band1Vert">
      <w:tblPr/>
      <w:tcPr>
        <w:shd w:val="clear" w:color="auto" w:fill="F2A697" w:themeFill="accent6" w:themeFillTint="7F"/>
      </w:tcPr>
    </w:tblStylePr>
    <w:tblStylePr w:type="band1Horz">
      <w:tblPr/>
      <w:tcPr>
        <w:shd w:val="clear" w:color="auto" w:fill="F2A697" w:themeFill="accent6" w:themeFillTint="7F"/>
      </w:tcPr>
    </w:tblStylePr>
  </w:style>
  <w:style w:type="table" w:styleId="MediumGrid2">
    <w:name w:val="Medium Grid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insideH w:val="single" w:sz="8" w:space="0" w:color="00B8BD" w:themeColor="accent1"/>
        <w:insideV w:val="single" w:sz="8" w:space="0" w:color="00B8BD" w:themeColor="accent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F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DFF" w:themeFill="accent1" w:themeFillTint="33"/>
      </w:tcPr>
    </w:tblStylePr>
    <w:tblStylePr w:type="band1Vert">
      <w:tblPr/>
      <w:tcPr>
        <w:shd w:val="clear" w:color="auto" w:fill="5FFAFF" w:themeFill="accent1" w:themeFillTint="7F"/>
      </w:tcPr>
    </w:tblStylePr>
    <w:tblStylePr w:type="band1Horz">
      <w:tblPr/>
      <w:tcPr>
        <w:tcBorders>
          <w:insideH w:val="single" w:sz="6" w:space="0" w:color="00B8BD" w:themeColor="accent1"/>
          <w:insideV w:val="single" w:sz="6" w:space="0" w:color="00B8BD" w:themeColor="accent1"/>
        </w:tcBorders>
        <w:shd w:val="clear" w:color="auto" w:fill="5FF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insideH w:val="single" w:sz="8" w:space="0" w:color="8DB93F" w:themeColor="accent2"/>
        <w:insideV w:val="single" w:sz="8" w:space="0" w:color="8DB93F" w:themeColor="accent2"/>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rPr>
      <w:tblPr/>
      <w:tcPr>
        <w:shd w:val="clear" w:color="auto" w:fill="F3F8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D7" w:themeFill="accent2" w:themeFillTint="33"/>
      </w:tcPr>
    </w:tblStylePr>
    <w:tblStylePr w:type="band1Vert">
      <w:tblPr/>
      <w:tcPr>
        <w:shd w:val="clear" w:color="auto" w:fill="C6DD9D" w:themeFill="accent2" w:themeFillTint="7F"/>
      </w:tcPr>
    </w:tblStylePr>
    <w:tblStylePr w:type="band1Horz">
      <w:tblPr/>
      <w:tcPr>
        <w:tcBorders>
          <w:insideH w:val="single" w:sz="6" w:space="0" w:color="8DB93F" w:themeColor="accent2"/>
          <w:insideV w:val="single" w:sz="6" w:space="0" w:color="8DB93F" w:themeColor="accent2"/>
        </w:tcBorders>
        <w:shd w:val="clear" w:color="auto" w:fill="C6DD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insideH w:val="single" w:sz="8" w:space="0" w:color="E0048B" w:themeColor="accent3"/>
        <w:insideV w:val="single" w:sz="8" w:space="0" w:color="E0048B" w:themeColor="accent3"/>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EE3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7E8" w:themeFill="accent3" w:themeFillTint="33"/>
      </w:tcPr>
    </w:tblStylePr>
    <w:tblStylePr w:type="band1Vert">
      <w:tblPr/>
      <w:tcPr>
        <w:shd w:val="clear" w:color="auto" w:fill="FC74C7" w:themeFill="accent3" w:themeFillTint="7F"/>
      </w:tcPr>
    </w:tblStylePr>
    <w:tblStylePr w:type="band1Horz">
      <w:tblPr/>
      <w:tcPr>
        <w:tcBorders>
          <w:insideH w:val="single" w:sz="6" w:space="0" w:color="E0048B" w:themeColor="accent3"/>
          <w:insideV w:val="single" w:sz="6" w:space="0" w:color="E0048B" w:themeColor="accent3"/>
        </w:tcBorders>
        <w:shd w:val="clear" w:color="auto" w:fill="FC74C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insideH w:val="single" w:sz="8" w:space="0" w:color="F8A034" w:themeColor="accent4"/>
        <w:insideV w:val="single" w:sz="8" w:space="0" w:color="F8A034" w:themeColor="accent4"/>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F5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6" w:themeFill="accent4" w:themeFillTint="33"/>
      </w:tcPr>
    </w:tblStylePr>
    <w:tblStylePr w:type="band1Vert">
      <w:tblPr/>
      <w:tcPr>
        <w:shd w:val="clear" w:color="auto" w:fill="FBCF99" w:themeFill="accent4" w:themeFillTint="7F"/>
      </w:tcPr>
    </w:tblStylePr>
    <w:tblStylePr w:type="band1Horz">
      <w:tblPr/>
      <w:tcPr>
        <w:tcBorders>
          <w:insideH w:val="single" w:sz="6" w:space="0" w:color="F8A034" w:themeColor="accent4"/>
          <w:insideV w:val="single" w:sz="6" w:space="0" w:color="F8A034" w:themeColor="accent4"/>
        </w:tcBorders>
        <w:shd w:val="clear" w:color="auto" w:fill="FBCF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insideH w:val="single" w:sz="8" w:space="0" w:color="86509F" w:themeColor="accent5"/>
        <w:insideV w:val="single" w:sz="8" w:space="0" w:color="86509F" w:themeColor="accent5"/>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AEC" w:themeFill="accent5" w:themeFillTint="33"/>
      </w:tcPr>
    </w:tblStylePr>
    <w:tblStylePr w:type="band1Vert">
      <w:tblPr/>
      <w:tcPr>
        <w:shd w:val="clear" w:color="auto" w:fill="C3A5D1" w:themeFill="accent5" w:themeFillTint="7F"/>
      </w:tcPr>
    </w:tblStylePr>
    <w:tblStylePr w:type="band1Horz">
      <w:tblPr/>
      <w:tcPr>
        <w:tcBorders>
          <w:insideH w:val="single" w:sz="6" w:space="0" w:color="86509F" w:themeColor="accent5"/>
          <w:insideV w:val="single" w:sz="6" w:space="0" w:color="86509F" w:themeColor="accent5"/>
        </w:tcBorders>
        <w:shd w:val="clear" w:color="auto" w:fill="C3A5D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insideH w:val="single" w:sz="8" w:space="0" w:color="E54F2F" w:themeColor="accent6"/>
        <w:insideV w:val="single" w:sz="8" w:space="0" w:color="E54F2F" w:themeColor="accent6"/>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rPr>
      <w:tblPr/>
      <w:tcPr>
        <w:shd w:val="clear" w:color="auto" w:fill="FCED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BD5" w:themeFill="accent6" w:themeFillTint="33"/>
      </w:tcPr>
    </w:tblStylePr>
    <w:tblStylePr w:type="band1Vert">
      <w:tblPr/>
      <w:tcPr>
        <w:shd w:val="clear" w:color="auto" w:fill="F2A697" w:themeFill="accent6" w:themeFillTint="7F"/>
      </w:tcPr>
    </w:tblStylePr>
    <w:tblStylePr w:type="band1Horz">
      <w:tblPr/>
      <w:tcPr>
        <w:tcBorders>
          <w:insideH w:val="single" w:sz="6" w:space="0" w:color="E54F2F" w:themeColor="accent6"/>
          <w:insideV w:val="single" w:sz="6" w:space="0" w:color="E54F2F" w:themeColor="accent6"/>
        </w:tcBorders>
        <w:shd w:val="clear" w:color="auto" w:fill="F2A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AFF" w:themeFill="accent1" w:themeFillTint="7F"/>
      </w:tcPr>
    </w:tblStylePr>
  </w:style>
  <w:style w:type="table" w:styleId="MediumGrid3-Accent2">
    <w:name w:val="Medium Grid 3 Accent 2"/>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CE"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9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9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9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D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D9D" w:themeFill="accent2" w:themeFillTint="7F"/>
      </w:tcPr>
    </w:tblStylePr>
  </w:style>
  <w:style w:type="table" w:styleId="MediumGrid3-Accent3">
    <w:name w:val="Medium Grid 3 Accent 3"/>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AE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048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048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048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74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74C7" w:themeFill="accent3" w:themeFillTint="7F"/>
      </w:tcPr>
    </w:tblStylePr>
  </w:style>
  <w:style w:type="table" w:styleId="MediumGrid3-Accent4">
    <w:name w:val="Medium Grid 3 Accent 4"/>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0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0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0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F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F99" w:themeFill="accent4" w:themeFillTint="7F"/>
      </w:tcPr>
    </w:tblStylePr>
  </w:style>
  <w:style w:type="table" w:styleId="MediumGrid3-Accent5">
    <w:name w:val="Medium Grid 3 Accent 5"/>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2E8"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09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09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09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A5D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A5D1" w:themeFill="accent5" w:themeFillTint="7F"/>
      </w:tcPr>
    </w:tblStylePr>
  </w:style>
  <w:style w:type="table" w:styleId="MediumGrid3-Accent6">
    <w:name w:val="Medium Grid 3 Accent 6"/>
    <w:basedOn w:val="TableNormal"/>
    <w:uiPriority w:val="98"/>
    <w:rsid w:val="00BD44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3CB"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4F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4F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4F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697" w:themeFill="accent6" w:themeFillTint="7F"/>
      </w:tcPr>
    </w:tblStylePr>
  </w:style>
  <w:style w:type="table" w:styleId="MediumList1">
    <w:name w:val="Medium List 1"/>
    <w:basedOn w:val="TableNormal"/>
    <w:uiPriority w:val="98"/>
    <w:rsid w:val="00BD449F"/>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3E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D449F"/>
    <w:rPr>
      <w:color w:val="000000" w:themeColor="text1"/>
    </w:rPr>
    <w:tblPr>
      <w:tblStyleRowBandSize w:val="1"/>
      <w:tblStyleColBandSize w:val="1"/>
      <w:tblBorders>
        <w:top w:val="single" w:sz="8" w:space="0" w:color="00B8BD" w:themeColor="accent1"/>
        <w:bottom w:val="single" w:sz="8" w:space="0" w:color="00B8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B8BD" w:themeColor="accent1"/>
        </w:tcBorders>
      </w:tcPr>
    </w:tblStylePr>
    <w:tblStylePr w:type="lastRow">
      <w:rPr>
        <w:b/>
        <w:bCs/>
        <w:color w:val="00B3ED" w:themeColor="text2"/>
      </w:rPr>
      <w:tblPr/>
      <w:tcPr>
        <w:tcBorders>
          <w:top w:val="single" w:sz="8" w:space="0" w:color="00B8BD" w:themeColor="accent1"/>
          <w:bottom w:val="single" w:sz="8" w:space="0" w:color="00B8BD" w:themeColor="accent1"/>
        </w:tcBorders>
      </w:tcPr>
    </w:tblStylePr>
    <w:tblStylePr w:type="firstCol">
      <w:rPr>
        <w:b/>
        <w:bCs/>
      </w:rPr>
    </w:tblStylePr>
    <w:tblStylePr w:type="lastCol">
      <w:rPr>
        <w:b/>
        <w:bCs/>
      </w:rPr>
      <w:tblPr/>
      <w:tcPr>
        <w:tcBorders>
          <w:top w:val="single" w:sz="8" w:space="0" w:color="00B8BD" w:themeColor="accent1"/>
          <w:bottom w:val="single" w:sz="8" w:space="0" w:color="00B8BD" w:themeColor="accent1"/>
        </w:tcBorders>
      </w:tcPr>
    </w:tblStylePr>
    <w:tblStylePr w:type="band1Vert">
      <w:tblPr/>
      <w:tcPr>
        <w:shd w:val="clear" w:color="auto" w:fill="AFFCFF" w:themeFill="accent1" w:themeFillTint="3F"/>
      </w:tcPr>
    </w:tblStylePr>
    <w:tblStylePr w:type="band1Horz">
      <w:tblPr/>
      <w:tcPr>
        <w:shd w:val="clear" w:color="auto" w:fill="AFFCFF" w:themeFill="accent1" w:themeFillTint="3F"/>
      </w:tcPr>
    </w:tblStylePr>
  </w:style>
  <w:style w:type="table" w:styleId="MediumList1-Accent2">
    <w:name w:val="Medium List 1 Accent 2"/>
    <w:basedOn w:val="TableNormal"/>
    <w:uiPriority w:val="98"/>
    <w:rsid w:val="00BD449F"/>
    <w:rPr>
      <w:color w:val="000000" w:themeColor="text1"/>
    </w:rPr>
    <w:tblPr>
      <w:tblStyleRowBandSize w:val="1"/>
      <w:tblStyleColBandSize w:val="1"/>
      <w:tblBorders>
        <w:top w:val="single" w:sz="8" w:space="0" w:color="8DB93F" w:themeColor="accent2"/>
        <w:bottom w:val="single" w:sz="8" w:space="0" w:color="8DB93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DB93F" w:themeColor="accent2"/>
        </w:tcBorders>
      </w:tcPr>
    </w:tblStylePr>
    <w:tblStylePr w:type="lastRow">
      <w:rPr>
        <w:b/>
        <w:bCs/>
        <w:color w:val="00B3ED" w:themeColor="text2"/>
      </w:rPr>
      <w:tblPr/>
      <w:tcPr>
        <w:tcBorders>
          <w:top w:val="single" w:sz="8" w:space="0" w:color="8DB93F" w:themeColor="accent2"/>
          <w:bottom w:val="single" w:sz="8" w:space="0" w:color="8DB93F" w:themeColor="accent2"/>
        </w:tcBorders>
      </w:tcPr>
    </w:tblStylePr>
    <w:tblStylePr w:type="firstCol">
      <w:rPr>
        <w:b/>
        <w:bCs/>
      </w:rPr>
    </w:tblStylePr>
    <w:tblStylePr w:type="lastCol">
      <w:rPr>
        <w:b/>
        <w:bCs/>
      </w:rPr>
      <w:tblPr/>
      <w:tcPr>
        <w:tcBorders>
          <w:top w:val="single" w:sz="8" w:space="0" w:color="8DB93F" w:themeColor="accent2"/>
          <w:bottom w:val="single" w:sz="8" w:space="0" w:color="8DB93F" w:themeColor="accent2"/>
        </w:tcBorders>
      </w:tcPr>
    </w:tblStylePr>
    <w:tblStylePr w:type="band1Vert">
      <w:tblPr/>
      <w:tcPr>
        <w:shd w:val="clear" w:color="auto" w:fill="E2EECE" w:themeFill="accent2" w:themeFillTint="3F"/>
      </w:tcPr>
    </w:tblStylePr>
    <w:tblStylePr w:type="band1Horz">
      <w:tblPr/>
      <w:tcPr>
        <w:shd w:val="clear" w:color="auto" w:fill="E2EECE" w:themeFill="accent2" w:themeFillTint="3F"/>
      </w:tcPr>
    </w:tblStylePr>
  </w:style>
  <w:style w:type="table" w:styleId="MediumList1-Accent3">
    <w:name w:val="Medium List 1 Accent 3"/>
    <w:basedOn w:val="TableNormal"/>
    <w:uiPriority w:val="98"/>
    <w:rsid w:val="00BD449F"/>
    <w:rPr>
      <w:color w:val="000000" w:themeColor="text1"/>
    </w:rPr>
    <w:tblPr>
      <w:tblStyleRowBandSize w:val="1"/>
      <w:tblStyleColBandSize w:val="1"/>
      <w:tblBorders>
        <w:top w:val="single" w:sz="8" w:space="0" w:color="E0048B" w:themeColor="accent3"/>
        <w:bottom w:val="single" w:sz="8" w:space="0" w:color="E0048B"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0048B" w:themeColor="accent3"/>
        </w:tcBorders>
      </w:tcPr>
    </w:tblStylePr>
    <w:tblStylePr w:type="lastRow">
      <w:rPr>
        <w:b/>
        <w:bCs/>
        <w:color w:val="00B3ED" w:themeColor="text2"/>
      </w:rPr>
      <w:tblPr/>
      <w:tcPr>
        <w:tcBorders>
          <w:top w:val="single" w:sz="8" w:space="0" w:color="E0048B" w:themeColor="accent3"/>
          <w:bottom w:val="single" w:sz="8" w:space="0" w:color="E0048B" w:themeColor="accent3"/>
        </w:tcBorders>
      </w:tcPr>
    </w:tblStylePr>
    <w:tblStylePr w:type="firstCol">
      <w:rPr>
        <w:b/>
        <w:bCs/>
      </w:rPr>
    </w:tblStylePr>
    <w:tblStylePr w:type="lastCol">
      <w:rPr>
        <w:b/>
        <w:bCs/>
      </w:rPr>
      <w:tblPr/>
      <w:tcPr>
        <w:tcBorders>
          <w:top w:val="single" w:sz="8" w:space="0" w:color="E0048B" w:themeColor="accent3"/>
          <w:bottom w:val="single" w:sz="8" w:space="0" w:color="E0048B" w:themeColor="accent3"/>
        </w:tcBorders>
      </w:tcPr>
    </w:tblStylePr>
    <w:tblStylePr w:type="band1Vert">
      <w:tblPr/>
      <w:tcPr>
        <w:shd w:val="clear" w:color="auto" w:fill="FDBAE3" w:themeFill="accent3" w:themeFillTint="3F"/>
      </w:tcPr>
    </w:tblStylePr>
    <w:tblStylePr w:type="band1Horz">
      <w:tblPr/>
      <w:tcPr>
        <w:shd w:val="clear" w:color="auto" w:fill="FDBAE3" w:themeFill="accent3" w:themeFillTint="3F"/>
      </w:tcPr>
    </w:tblStylePr>
  </w:style>
  <w:style w:type="table" w:styleId="MediumList1-Accent4">
    <w:name w:val="Medium List 1 Accent 4"/>
    <w:basedOn w:val="TableNormal"/>
    <w:uiPriority w:val="98"/>
    <w:rsid w:val="00BD449F"/>
    <w:rPr>
      <w:color w:val="000000" w:themeColor="text1"/>
    </w:rPr>
    <w:tblPr>
      <w:tblStyleRowBandSize w:val="1"/>
      <w:tblStyleColBandSize w:val="1"/>
      <w:tblBorders>
        <w:top w:val="single" w:sz="8" w:space="0" w:color="F8A034" w:themeColor="accent4"/>
        <w:bottom w:val="single" w:sz="8" w:space="0" w:color="F8A034"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8A034" w:themeColor="accent4"/>
        </w:tcBorders>
      </w:tcPr>
    </w:tblStylePr>
    <w:tblStylePr w:type="lastRow">
      <w:rPr>
        <w:b/>
        <w:bCs/>
        <w:color w:val="00B3ED" w:themeColor="text2"/>
      </w:rPr>
      <w:tblPr/>
      <w:tcPr>
        <w:tcBorders>
          <w:top w:val="single" w:sz="8" w:space="0" w:color="F8A034" w:themeColor="accent4"/>
          <w:bottom w:val="single" w:sz="8" w:space="0" w:color="F8A034" w:themeColor="accent4"/>
        </w:tcBorders>
      </w:tcPr>
    </w:tblStylePr>
    <w:tblStylePr w:type="firstCol">
      <w:rPr>
        <w:b/>
        <w:bCs/>
      </w:rPr>
    </w:tblStylePr>
    <w:tblStylePr w:type="lastCol">
      <w:rPr>
        <w:b/>
        <w:bCs/>
      </w:rPr>
      <w:tblPr/>
      <w:tcPr>
        <w:tcBorders>
          <w:top w:val="single" w:sz="8" w:space="0" w:color="F8A034" w:themeColor="accent4"/>
          <w:bottom w:val="single" w:sz="8" w:space="0" w:color="F8A034" w:themeColor="accent4"/>
        </w:tcBorders>
      </w:tcPr>
    </w:tblStylePr>
    <w:tblStylePr w:type="band1Vert">
      <w:tblPr/>
      <w:tcPr>
        <w:shd w:val="clear" w:color="auto" w:fill="FDE7CC" w:themeFill="accent4" w:themeFillTint="3F"/>
      </w:tcPr>
    </w:tblStylePr>
    <w:tblStylePr w:type="band1Horz">
      <w:tblPr/>
      <w:tcPr>
        <w:shd w:val="clear" w:color="auto" w:fill="FDE7CC" w:themeFill="accent4" w:themeFillTint="3F"/>
      </w:tcPr>
    </w:tblStylePr>
  </w:style>
  <w:style w:type="table" w:styleId="MediumList1-Accent5">
    <w:name w:val="Medium List 1 Accent 5"/>
    <w:basedOn w:val="TableNormal"/>
    <w:uiPriority w:val="98"/>
    <w:rsid w:val="00BD449F"/>
    <w:rPr>
      <w:color w:val="000000" w:themeColor="text1"/>
    </w:rPr>
    <w:tblPr>
      <w:tblStyleRowBandSize w:val="1"/>
      <w:tblStyleColBandSize w:val="1"/>
      <w:tblBorders>
        <w:top w:val="single" w:sz="8" w:space="0" w:color="86509F" w:themeColor="accent5"/>
        <w:bottom w:val="single" w:sz="8" w:space="0" w:color="86509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6509F" w:themeColor="accent5"/>
        </w:tcBorders>
      </w:tcPr>
    </w:tblStylePr>
    <w:tblStylePr w:type="lastRow">
      <w:rPr>
        <w:b/>
        <w:bCs/>
        <w:color w:val="00B3ED" w:themeColor="text2"/>
      </w:rPr>
      <w:tblPr/>
      <w:tcPr>
        <w:tcBorders>
          <w:top w:val="single" w:sz="8" w:space="0" w:color="86509F" w:themeColor="accent5"/>
          <w:bottom w:val="single" w:sz="8" w:space="0" w:color="86509F" w:themeColor="accent5"/>
        </w:tcBorders>
      </w:tcPr>
    </w:tblStylePr>
    <w:tblStylePr w:type="firstCol">
      <w:rPr>
        <w:b/>
        <w:bCs/>
      </w:rPr>
    </w:tblStylePr>
    <w:tblStylePr w:type="lastCol">
      <w:rPr>
        <w:b/>
        <w:bCs/>
      </w:rPr>
      <w:tblPr/>
      <w:tcPr>
        <w:tcBorders>
          <w:top w:val="single" w:sz="8" w:space="0" w:color="86509F" w:themeColor="accent5"/>
          <w:bottom w:val="single" w:sz="8" w:space="0" w:color="86509F" w:themeColor="accent5"/>
        </w:tcBorders>
      </w:tcPr>
    </w:tblStylePr>
    <w:tblStylePr w:type="band1Vert">
      <w:tblPr/>
      <w:tcPr>
        <w:shd w:val="clear" w:color="auto" w:fill="E1D2E8" w:themeFill="accent5" w:themeFillTint="3F"/>
      </w:tcPr>
    </w:tblStylePr>
    <w:tblStylePr w:type="band1Horz">
      <w:tblPr/>
      <w:tcPr>
        <w:shd w:val="clear" w:color="auto" w:fill="E1D2E8" w:themeFill="accent5" w:themeFillTint="3F"/>
      </w:tcPr>
    </w:tblStylePr>
  </w:style>
  <w:style w:type="table" w:styleId="MediumList1-Accent6">
    <w:name w:val="Medium List 1 Accent 6"/>
    <w:basedOn w:val="TableNormal"/>
    <w:uiPriority w:val="98"/>
    <w:rsid w:val="00BD449F"/>
    <w:rPr>
      <w:color w:val="000000" w:themeColor="text1"/>
    </w:rPr>
    <w:tblPr>
      <w:tblStyleRowBandSize w:val="1"/>
      <w:tblStyleColBandSize w:val="1"/>
      <w:tblBorders>
        <w:top w:val="single" w:sz="8" w:space="0" w:color="E54F2F" w:themeColor="accent6"/>
        <w:bottom w:val="single" w:sz="8" w:space="0" w:color="E54F2F"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54F2F" w:themeColor="accent6"/>
        </w:tcBorders>
      </w:tcPr>
    </w:tblStylePr>
    <w:tblStylePr w:type="lastRow">
      <w:rPr>
        <w:b/>
        <w:bCs/>
        <w:color w:val="00B3ED" w:themeColor="text2"/>
      </w:rPr>
      <w:tblPr/>
      <w:tcPr>
        <w:tcBorders>
          <w:top w:val="single" w:sz="8" w:space="0" w:color="E54F2F" w:themeColor="accent6"/>
          <w:bottom w:val="single" w:sz="8" w:space="0" w:color="E54F2F" w:themeColor="accent6"/>
        </w:tcBorders>
      </w:tcPr>
    </w:tblStylePr>
    <w:tblStylePr w:type="firstCol">
      <w:rPr>
        <w:b/>
        <w:bCs/>
      </w:rPr>
    </w:tblStylePr>
    <w:tblStylePr w:type="lastCol">
      <w:rPr>
        <w:b/>
        <w:bCs/>
      </w:rPr>
      <w:tblPr/>
      <w:tcPr>
        <w:tcBorders>
          <w:top w:val="single" w:sz="8" w:space="0" w:color="E54F2F" w:themeColor="accent6"/>
          <w:bottom w:val="single" w:sz="8" w:space="0" w:color="E54F2F" w:themeColor="accent6"/>
        </w:tcBorders>
      </w:tcPr>
    </w:tblStylePr>
    <w:tblStylePr w:type="band1Vert">
      <w:tblPr/>
      <w:tcPr>
        <w:shd w:val="clear" w:color="auto" w:fill="F8D3CB" w:themeFill="accent6" w:themeFillTint="3F"/>
      </w:tcPr>
    </w:tblStylePr>
    <w:tblStylePr w:type="band1Horz">
      <w:tblPr/>
      <w:tcPr>
        <w:shd w:val="clear" w:color="auto" w:fill="F8D3CB" w:themeFill="accent6" w:themeFillTint="3F"/>
      </w:tcPr>
    </w:tblStylePr>
  </w:style>
  <w:style w:type="table" w:styleId="MediumList2">
    <w:name w:val="Medium List 2"/>
    <w:basedOn w:val="TableNormal"/>
    <w:uiPriority w:val="98"/>
    <w:rsid w:val="00BD449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D449F"/>
    <w:rPr>
      <w:rFonts w:eastAsiaTheme="majorEastAsia" w:cstheme="majorBidi"/>
      <w:color w:val="000000" w:themeColor="text1"/>
    </w:rPr>
    <w:tblPr>
      <w:tblStyleRowBandSize w:val="1"/>
      <w:tblStyleColBandSize w:val="1"/>
      <w:tblBorders>
        <w:top w:val="single" w:sz="8" w:space="0" w:color="00B8BD" w:themeColor="accent1"/>
        <w:left w:val="single" w:sz="8" w:space="0" w:color="00B8BD" w:themeColor="accent1"/>
        <w:bottom w:val="single" w:sz="8" w:space="0" w:color="00B8BD" w:themeColor="accent1"/>
        <w:right w:val="single" w:sz="8" w:space="0" w:color="00B8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B8BD" w:themeColor="accent1"/>
          <w:right w:val="nil"/>
          <w:insideH w:val="nil"/>
          <w:insideV w:val="nil"/>
        </w:tcBorders>
        <w:shd w:val="clear" w:color="auto" w:fill="FFFFFF" w:themeFill="background1"/>
      </w:tcPr>
    </w:tblStylePr>
    <w:tblStylePr w:type="lastRow">
      <w:tblPr/>
      <w:tcPr>
        <w:tcBorders>
          <w:top w:val="single" w:sz="8" w:space="0" w:color="00B8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BD" w:themeColor="accent1"/>
          <w:insideH w:val="nil"/>
          <w:insideV w:val="nil"/>
        </w:tcBorders>
        <w:shd w:val="clear" w:color="auto" w:fill="FFFFFF" w:themeFill="background1"/>
      </w:tcPr>
    </w:tblStylePr>
    <w:tblStylePr w:type="lastCol">
      <w:tblPr/>
      <w:tcPr>
        <w:tcBorders>
          <w:top w:val="nil"/>
          <w:left w:val="single" w:sz="8" w:space="0" w:color="00B8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1" w:themeFillTint="3F"/>
      </w:tcPr>
    </w:tblStylePr>
    <w:tblStylePr w:type="band1Horz">
      <w:tblPr/>
      <w:tcPr>
        <w:tcBorders>
          <w:top w:val="nil"/>
          <w:bottom w:val="nil"/>
          <w:insideH w:val="nil"/>
          <w:insideV w:val="nil"/>
        </w:tcBorders>
        <w:shd w:val="clear" w:color="auto" w:fill="AF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D449F"/>
    <w:rPr>
      <w:rFonts w:eastAsiaTheme="majorEastAsia" w:cstheme="majorBidi"/>
      <w:color w:val="000000" w:themeColor="text1"/>
    </w:rPr>
    <w:tblPr>
      <w:tblStyleRowBandSize w:val="1"/>
      <w:tblStyleColBandSize w:val="1"/>
      <w:tblBorders>
        <w:top w:val="single" w:sz="8" w:space="0" w:color="8DB93F" w:themeColor="accent2"/>
        <w:left w:val="single" w:sz="8" w:space="0" w:color="8DB93F" w:themeColor="accent2"/>
        <w:bottom w:val="single" w:sz="8" w:space="0" w:color="8DB93F" w:themeColor="accent2"/>
        <w:right w:val="single" w:sz="8" w:space="0" w:color="8DB93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DB93F" w:themeColor="accent2"/>
          <w:right w:val="nil"/>
          <w:insideH w:val="nil"/>
          <w:insideV w:val="nil"/>
        </w:tcBorders>
        <w:shd w:val="clear" w:color="auto" w:fill="FFFFFF" w:themeFill="background1"/>
      </w:tcPr>
    </w:tblStylePr>
    <w:tblStylePr w:type="lastRow">
      <w:tblPr/>
      <w:tcPr>
        <w:tcBorders>
          <w:top w:val="single" w:sz="8" w:space="0" w:color="8DB93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93F" w:themeColor="accent2"/>
          <w:insideH w:val="nil"/>
          <w:insideV w:val="nil"/>
        </w:tcBorders>
        <w:shd w:val="clear" w:color="auto" w:fill="FFFFFF" w:themeFill="background1"/>
      </w:tcPr>
    </w:tblStylePr>
    <w:tblStylePr w:type="lastCol">
      <w:tblPr/>
      <w:tcPr>
        <w:tcBorders>
          <w:top w:val="nil"/>
          <w:left w:val="single" w:sz="8" w:space="0" w:color="8DB9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CE" w:themeFill="accent2" w:themeFillTint="3F"/>
      </w:tcPr>
    </w:tblStylePr>
    <w:tblStylePr w:type="band1Horz">
      <w:tblPr/>
      <w:tcPr>
        <w:tcBorders>
          <w:top w:val="nil"/>
          <w:bottom w:val="nil"/>
          <w:insideH w:val="nil"/>
          <w:insideV w:val="nil"/>
        </w:tcBorders>
        <w:shd w:val="clear" w:color="auto" w:fill="E2EE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D449F"/>
    <w:rPr>
      <w:rFonts w:eastAsiaTheme="majorEastAsia" w:cstheme="majorBidi"/>
      <w:color w:val="000000" w:themeColor="text1"/>
    </w:rPr>
    <w:tblPr>
      <w:tblStyleRowBandSize w:val="1"/>
      <w:tblStyleColBandSize w:val="1"/>
      <w:tblBorders>
        <w:top w:val="single" w:sz="8" w:space="0" w:color="E0048B" w:themeColor="accent3"/>
        <w:left w:val="single" w:sz="8" w:space="0" w:color="E0048B" w:themeColor="accent3"/>
        <w:bottom w:val="single" w:sz="8" w:space="0" w:color="E0048B" w:themeColor="accent3"/>
        <w:right w:val="single" w:sz="8" w:space="0" w:color="E0048B"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0048B" w:themeColor="accent3"/>
          <w:right w:val="nil"/>
          <w:insideH w:val="nil"/>
          <w:insideV w:val="nil"/>
        </w:tcBorders>
        <w:shd w:val="clear" w:color="auto" w:fill="FFFFFF" w:themeFill="background1"/>
      </w:tcPr>
    </w:tblStylePr>
    <w:tblStylePr w:type="lastRow">
      <w:tblPr/>
      <w:tcPr>
        <w:tcBorders>
          <w:top w:val="single" w:sz="8" w:space="0" w:color="E0048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048B" w:themeColor="accent3"/>
          <w:insideH w:val="nil"/>
          <w:insideV w:val="nil"/>
        </w:tcBorders>
        <w:shd w:val="clear" w:color="auto" w:fill="FFFFFF" w:themeFill="background1"/>
      </w:tcPr>
    </w:tblStylePr>
    <w:tblStylePr w:type="lastCol">
      <w:tblPr/>
      <w:tcPr>
        <w:tcBorders>
          <w:top w:val="nil"/>
          <w:left w:val="single" w:sz="8" w:space="0" w:color="E0048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AE3" w:themeFill="accent3" w:themeFillTint="3F"/>
      </w:tcPr>
    </w:tblStylePr>
    <w:tblStylePr w:type="band1Horz">
      <w:tblPr/>
      <w:tcPr>
        <w:tcBorders>
          <w:top w:val="nil"/>
          <w:bottom w:val="nil"/>
          <w:insideH w:val="nil"/>
          <w:insideV w:val="nil"/>
        </w:tcBorders>
        <w:shd w:val="clear" w:color="auto" w:fill="FDBA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D449F"/>
    <w:rPr>
      <w:rFonts w:eastAsiaTheme="majorEastAsia" w:cstheme="majorBidi"/>
      <w:color w:val="000000" w:themeColor="text1"/>
    </w:rPr>
    <w:tblPr>
      <w:tblStyleRowBandSize w:val="1"/>
      <w:tblStyleColBandSize w:val="1"/>
      <w:tblBorders>
        <w:top w:val="single" w:sz="8" w:space="0" w:color="F8A034" w:themeColor="accent4"/>
        <w:left w:val="single" w:sz="8" w:space="0" w:color="F8A034" w:themeColor="accent4"/>
        <w:bottom w:val="single" w:sz="8" w:space="0" w:color="F8A034" w:themeColor="accent4"/>
        <w:right w:val="single" w:sz="8" w:space="0" w:color="F8A034"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8A034" w:themeColor="accent4"/>
          <w:right w:val="nil"/>
          <w:insideH w:val="nil"/>
          <w:insideV w:val="nil"/>
        </w:tcBorders>
        <w:shd w:val="clear" w:color="auto" w:fill="FFFFFF" w:themeFill="background1"/>
      </w:tcPr>
    </w:tblStylePr>
    <w:tblStylePr w:type="lastRow">
      <w:tblPr/>
      <w:tcPr>
        <w:tcBorders>
          <w:top w:val="single" w:sz="8" w:space="0" w:color="F8A0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034" w:themeColor="accent4"/>
          <w:insideH w:val="nil"/>
          <w:insideV w:val="nil"/>
        </w:tcBorders>
        <w:shd w:val="clear" w:color="auto" w:fill="FFFFFF" w:themeFill="background1"/>
      </w:tcPr>
    </w:tblStylePr>
    <w:tblStylePr w:type="lastCol">
      <w:tblPr/>
      <w:tcPr>
        <w:tcBorders>
          <w:top w:val="nil"/>
          <w:left w:val="single" w:sz="8" w:space="0" w:color="F8A0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C" w:themeFill="accent4" w:themeFillTint="3F"/>
      </w:tcPr>
    </w:tblStylePr>
    <w:tblStylePr w:type="band1Horz">
      <w:tblPr/>
      <w:tcPr>
        <w:tcBorders>
          <w:top w:val="nil"/>
          <w:bottom w:val="nil"/>
          <w:insideH w:val="nil"/>
          <w:insideV w:val="nil"/>
        </w:tcBorders>
        <w:shd w:val="clear" w:color="auto" w:fill="FDE7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D449F"/>
    <w:rPr>
      <w:rFonts w:eastAsiaTheme="majorEastAsia" w:cstheme="majorBidi"/>
      <w:color w:val="000000" w:themeColor="text1"/>
    </w:rPr>
    <w:tblPr>
      <w:tblStyleRowBandSize w:val="1"/>
      <w:tblStyleColBandSize w:val="1"/>
      <w:tblBorders>
        <w:top w:val="single" w:sz="8" w:space="0" w:color="86509F" w:themeColor="accent5"/>
        <w:left w:val="single" w:sz="8" w:space="0" w:color="86509F" w:themeColor="accent5"/>
        <w:bottom w:val="single" w:sz="8" w:space="0" w:color="86509F" w:themeColor="accent5"/>
        <w:right w:val="single" w:sz="8" w:space="0" w:color="86509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6509F" w:themeColor="accent5"/>
          <w:right w:val="nil"/>
          <w:insideH w:val="nil"/>
          <w:insideV w:val="nil"/>
        </w:tcBorders>
        <w:shd w:val="clear" w:color="auto" w:fill="FFFFFF" w:themeFill="background1"/>
      </w:tcPr>
    </w:tblStylePr>
    <w:tblStylePr w:type="lastRow">
      <w:tblPr/>
      <w:tcPr>
        <w:tcBorders>
          <w:top w:val="single" w:sz="8" w:space="0" w:color="8650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09F" w:themeColor="accent5"/>
          <w:insideH w:val="nil"/>
          <w:insideV w:val="nil"/>
        </w:tcBorders>
        <w:shd w:val="clear" w:color="auto" w:fill="FFFFFF" w:themeFill="background1"/>
      </w:tcPr>
    </w:tblStylePr>
    <w:tblStylePr w:type="lastCol">
      <w:tblPr/>
      <w:tcPr>
        <w:tcBorders>
          <w:top w:val="nil"/>
          <w:left w:val="single" w:sz="8" w:space="0" w:color="8650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2E8" w:themeFill="accent5" w:themeFillTint="3F"/>
      </w:tcPr>
    </w:tblStylePr>
    <w:tblStylePr w:type="band1Horz">
      <w:tblPr/>
      <w:tcPr>
        <w:tcBorders>
          <w:top w:val="nil"/>
          <w:bottom w:val="nil"/>
          <w:insideH w:val="nil"/>
          <w:insideV w:val="nil"/>
        </w:tcBorders>
        <w:shd w:val="clear" w:color="auto" w:fill="E1D2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D449F"/>
    <w:rPr>
      <w:rFonts w:eastAsiaTheme="majorEastAsia" w:cstheme="majorBidi"/>
      <w:color w:val="000000" w:themeColor="text1"/>
    </w:rPr>
    <w:tblPr>
      <w:tblStyleRowBandSize w:val="1"/>
      <w:tblStyleColBandSize w:val="1"/>
      <w:tblBorders>
        <w:top w:val="single" w:sz="8" w:space="0" w:color="E54F2F" w:themeColor="accent6"/>
        <w:left w:val="single" w:sz="8" w:space="0" w:color="E54F2F" w:themeColor="accent6"/>
        <w:bottom w:val="single" w:sz="8" w:space="0" w:color="E54F2F" w:themeColor="accent6"/>
        <w:right w:val="single" w:sz="8" w:space="0" w:color="E54F2F"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54F2F" w:themeColor="accent6"/>
          <w:right w:val="nil"/>
          <w:insideH w:val="nil"/>
          <w:insideV w:val="nil"/>
        </w:tcBorders>
        <w:shd w:val="clear" w:color="auto" w:fill="FFFFFF" w:themeFill="background1"/>
      </w:tcPr>
    </w:tblStylePr>
    <w:tblStylePr w:type="lastRow">
      <w:tblPr/>
      <w:tcPr>
        <w:tcBorders>
          <w:top w:val="single" w:sz="8" w:space="0" w:color="E54F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4F2F" w:themeColor="accent6"/>
          <w:insideH w:val="nil"/>
          <w:insideV w:val="nil"/>
        </w:tcBorders>
        <w:shd w:val="clear" w:color="auto" w:fill="FFFFFF" w:themeFill="background1"/>
      </w:tcPr>
    </w:tblStylePr>
    <w:tblStylePr w:type="lastCol">
      <w:tblPr/>
      <w:tcPr>
        <w:tcBorders>
          <w:top w:val="nil"/>
          <w:left w:val="single" w:sz="8" w:space="0" w:color="E54F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3CB" w:themeFill="accent6" w:themeFillTint="3F"/>
      </w:tcPr>
    </w:tblStylePr>
    <w:tblStylePr w:type="band1Horz">
      <w:tblPr/>
      <w:tcPr>
        <w:tcBorders>
          <w:top w:val="nil"/>
          <w:bottom w:val="nil"/>
          <w:insideH w:val="nil"/>
          <w:insideV w:val="nil"/>
        </w:tcBorders>
        <w:shd w:val="clear" w:color="auto" w:fill="F8D3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D44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D449F"/>
    <w:tblPr>
      <w:tblStyleRowBandSize w:val="1"/>
      <w:tblStyleColBandSize w:val="1"/>
      <w:tbl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single" w:sz="8" w:space="0" w:color="0EF8F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shd w:val="clear" w:color="auto" w:fill="00B8BD" w:themeFill="accent1"/>
      </w:tcPr>
    </w:tblStylePr>
    <w:tblStylePr w:type="lastRow">
      <w:pPr>
        <w:spacing w:before="0" w:after="0" w:line="240" w:lineRule="auto"/>
      </w:pPr>
      <w:rPr>
        <w:b/>
        <w:bCs/>
      </w:rPr>
      <w:tblPr/>
      <w:tcPr>
        <w:tcBorders>
          <w:top w:val="double" w:sz="6" w:space="0" w:color="0EF8FF" w:themeColor="accent1" w:themeTint="BF"/>
          <w:left w:val="single" w:sz="8" w:space="0" w:color="0EF8FF" w:themeColor="accent1" w:themeTint="BF"/>
          <w:bottom w:val="single" w:sz="8" w:space="0" w:color="0EF8FF" w:themeColor="accent1" w:themeTint="BF"/>
          <w:right w:val="single" w:sz="8" w:space="0" w:color="0EF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1" w:themeFillTint="3F"/>
      </w:tcPr>
    </w:tblStylePr>
    <w:tblStylePr w:type="band1Horz">
      <w:tblPr/>
      <w:tcPr>
        <w:tcBorders>
          <w:insideH w:val="nil"/>
          <w:insideV w:val="nil"/>
        </w:tcBorders>
        <w:shd w:val="clear" w:color="auto" w:fill="AFF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D449F"/>
    <w:tblPr>
      <w:tblStyleRowBandSize w:val="1"/>
      <w:tblStyleColBandSize w:val="1"/>
      <w:tbl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single" w:sz="8" w:space="0" w:color="AACD6C"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shd w:val="clear" w:color="auto" w:fill="8DB93F" w:themeFill="accent2"/>
      </w:tcPr>
    </w:tblStylePr>
    <w:tblStylePr w:type="lastRow">
      <w:pPr>
        <w:spacing w:before="0" w:after="0" w:line="240" w:lineRule="auto"/>
      </w:pPr>
      <w:rPr>
        <w:b/>
        <w:bCs/>
      </w:rPr>
      <w:tblPr/>
      <w:tcPr>
        <w:tcBorders>
          <w:top w:val="double" w:sz="6" w:space="0" w:color="AACD6C" w:themeColor="accent2" w:themeTint="BF"/>
          <w:left w:val="single" w:sz="8" w:space="0" w:color="AACD6C" w:themeColor="accent2" w:themeTint="BF"/>
          <w:bottom w:val="single" w:sz="8" w:space="0" w:color="AACD6C" w:themeColor="accent2" w:themeTint="BF"/>
          <w:right w:val="single" w:sz="8" w:space="0" w:color="AACD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CE" w:themeFill="accent2" w:themeFillTint="3F"/>
      </w:tcPr>
    </w:tblStylePr>
    <w:tblStylePr w:type="band1Horz">
      <w:tblPr/>
      <w:tcPr>
        <w:tcBorders>
          <w:insideH w:val="nil"/>
          <w:insideV w:val="nil"/>
        </w:tcBorders>
        <w:shd w:val="clear" w:color="auto" w:fill="E2EE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D449F"/>
    <w:tblPr>
      <w:tblStyleRowBandSize w:val="1"/>
      <w:tblStyleColBandSize w:val="1"/>
      <w:tbl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single" w:sz="8" w:space="0" w:color="FB2FAC"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shd w:val="clear" w:color="auto" w:fill="E0048B" w:themeFill="accent3"/>
      </w:tcPr>
    </w:tblStylePr>
    <w:tblStylePr w:type="lastRow">
      <w:pPr>
        <w:spacing w:before="0" w:after="0" w:line="240" w:lineRule="auto"/>
      </w:pPr>
      <w:rPr>
        <w:b/>
        <w:bCs/>
      </w:rPr>
      <w:tblPr/>
      <w:tcPr>
        <w:tcBorders>
          <w:top w:val="double" w:sz="6" w:space="0" w:color="FB2FAC" w:themeColor="accent3" w:themeTint="BF"/>
          <w:left w:val="single" w:sz="8" w:space="0" w:color="FB2FAC" w:themeColor="accent3" w:themeTint="BF"/>
          <w:bottom w:val="single" w:sz="8" w:space="0" w:color="FB2FAC" w:themeColor="accent3" w:themeTint="BF"/>
          <w:right w:val="single" w:sz="8" w:space="0" w:color="FB2F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BAE3" w:themeFill="accent3" w:themeFillTint="3F"/>
      </w:tcPr>
    </w:tblStylePr>
    <w:tblStylePr w:type="band1Horz">
      <w:tblPr/>
      <w:tcPr>
        <w:tcBorders>
          <w:insideH w:val="nil"/>
          <w:insideV w:val="nil"/>
        </w:tcBorders>
        <w:shd w:val="clear" w:color="auto" w:fill="FDBA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D449F"/>
    <w:tblPr>
      <w:tblStyleRowBandSize w:val="1"/>
      <w:tblStyleColBandSize w:val="1"/>
      <w:tbl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single" w:sz="8" w:space="0" w:color="F9B7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shd w:val="clear" w:color="auto" w:fill="F8A034" w:themeFill="accent4"/>
      </w:tcPr>
    </w:tblStylePr>
    <w:tblStylePr w:type="lastRow">
      <w:pPr>
        <w:spacing w:before="0" w:after="0" w:line="240" w:lineRule="auto"/>
      </w:pPr>
      <w:rPr>
        <w:b/>
        <w:bCs/>
      </w:rPr>
      <w:tblPr/>
      <w:tcPr>
        <w:tcBorders>
          <w:top w:val="double" w:sz="6" w:space="0" w:color="F9B766" w:themeColor="accent4" w:themeTint="BF"/>
          <w:left w:val="single" w:sz="8" w:space="0" w:color="F9B766" w:themeColor="accent4" w:themeTint="BF"/>
          <w:bottom w:val="single" w:sz="8" w:space="0" w:color="F9B766" w:themeColor="accent4" w:themeTint="BF"/>
          <w:right w:val="single" w:sz="8" w:space="0" w:color="F9B7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7CC" w:themeFill="accent4" w:themeFillTint="3F"/>
      </w:tcPr>
    </w:tblStylePr>
    <w:tblStylePr w:type="band1Horz">
      <w:tblPr/>
      <w:tcPr>
        <w:tcBorders>
          <w:insideH w:val="nil"/>
          <w:insideV w:val="nil"/>
        </w:tcBorders>
        <w:shd w:val="clear" w:color="auto" w:fill="FDE7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D449F"/>
    <w:tblPr>
      <w:tblStyleRowBandSize w:val="1"/>
      <w:tblStyleColBandSize w:val="1"/>
      <w:tbl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single" w:sz="8" w:space="0" w:color="A577B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shd w:val="clear" w:color="auto" w:fill="86509F" w:themeFill="accent5"/>
      </w:tcPr>
    </w:tblStylePr>
    <w:tblStylePr w:type="lastRow">
      <w:pPr>
        <w:spacing w:before="0" w:after="0" w:line="240" w:lineRule="auto"/>
      </w:pPr>
      <w:rPr>
        <w:b/>
        <w:bCs/>
      </w:rPr>
      <w:tblPr/>
      <w:tcPr>
        <w:tcBorders>
          <w:top w:val="double" w:sz="6" w:space="0" w:color="A577BB" w:themeColor="accent5" w:themeTint="BF"/>
          <w:left w:val="single" w:sz="8" w:space="0" w:color="A577BB" w:themeColor="accent5" w:themeTint="BF"/>
          <w:bottom w:val="single" w:sz="8" w:space="0" w:color="A577BB" w:themeColor="accent5" w:themeTint="BF"/>
          <w:right w:val="single" w:sz="8" w:space="0" w:color="A577B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D2E8" w:themeFill="accent5" w:themeFillTint="3F"/>
      </w:tcPr>
    </w:tblStylePr>
    <w:tblStylePr w:type="band1Horz">
      <w:tblPr/>
      <w:tcPr>
        <w:tcBorders>
          <w:insideH w:val="nil"/>
          <w:insideV w:val="nil"/>
        </w:tcBorders>
        <w:shd w:val="clear" w:color="auto" w:fill="E1D2E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D449F"/>
    <w:tblPr>
      <w:tblStyleRowBandSize w:val="1"/>
      <w:tblStyleColBandSize w:val="1"/>
      <w:tbl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single" w:sz="8" w:space="0" w:color="EB7A63"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shd w:val="clear" w:color="auto" w:fill="E54F2F" w:themeFill="accent6"/>
      </w:tcPr>
    </w:tblStylePr>
    <w:tblStylePr w:type="lastRow">
      <w:pPr>
        <w:spacing w:before="0" w:after="0" w:line="240" w:lineRule="auto"/>
      </w:pPr>
      <w:rPr>
        <w:b/>
        <w:bCs/>
      </w:rPr>
      <w:tblPr/>
      <w:tcPr>
        <w:tcBorders>
          <w:top w:val="double" w:sz="6" w:space="0" w:color="EB7A63" w:themeColor="accent6" w:themeTint="BF"/>
          <w:left w:val="single" w:sz="8" w:space="0" w:color="EB7A63" w:themeColor="accent6" w:themeTint="BF"/>
          <w:bottom w:val="single" w:sz="8" w:space="0" w:color="EB7A63" w:themeColor="accent6" w:themeTint="BF"/>
          <w:right w:val="single" w:sz="8" w:space="0" w:color="EB7A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3CB" w:themeFill="accent6" w:themeFillTint="3F"/>
      </w:tcPr>
    </w:tblStylePr>
    <w:tblStylePr w:type="band1Horz">
      <w:tblPr/>
      <w:tcPr>
        <w:tcBorders>
          <w:insideH w:val="nil"/>
          <w:insideV w:val="nil"/>
        </w:tcBorders>
        <w:shd w:val="clear" w:color="auto" w:fill="F8D3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8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BD" w:themeFill="accent1"/>
      </w:tcPr>
    </w:tblStylePr>
    <w:tblStylePr w:type="lastCol">
      <w:rPr>
        <w:b/>
        <w:bCs/>
        <w:color w:val="FFFFFF" w:themeColor="background1"/>
      </w:rPr>
      <w:tblPr/>
      <w:tcPr>
        <w:tcBorders>
          <w:left w:val="nil"/>
          <w:right w:val="nil"/>
          <w:insideH w:val="nil"/>
          <w:insideV w:val="nil"/>
        </w:tcBorders>
        <w:shd w:val="clear" w:color="auto" w:fill="00B8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DB9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B93F" w:themeFill="accent2"/>
      </w:tcPr>
    </w:tblStylePr>
    <w:tblStylePr w:type="lastCol">
      <w:rPr>
        <w:b/>
        <w:bCs/>
        <w:color w:val="FFFFFF" w:themeColor="background1"/>
      </w:rPr>
      <w:tblPr/>
      <w:tcPr>
        <w:tcBorders>
          <w:left w:val="nil"/>
          <w:right w:val="nil"/>
          <w:insideH w:val="nil"/>
          <w:insideV w:val="nil"/>
        </w:tcBorders>
        <w:shd w:val="clear" w:color="auto" w:fill="8DB9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0048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048B" w:themeFill="accent3"/>
      </w:tcPr>
    </w:tblStylePr>
    <w:tblStylePr w:type="lastCol">
      <w:rPr>
        <w:b/>
        <w:bCs/>
        <w:color w:val="FFFFFF" w:themeColor="background1"/>
      </w:rPr>
      <w:tblPr/>
      <w:tcPr>
        <w:tcBorders>
          <w:left w:val="nil"/>
          <w:right w:val="nil"/>
          <w:insideH w:val="nil"/>
          <w:insideV w:val="nil"/>
        </w:tcBorders>
        <w:shd w:val="clear" w:color="auto" w:fill="E0048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8A0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A034" w:themeFill="accent4"/>
      </w:tcPr>
    </w:tblStylePr>
    <w:tblStylePr w:type="lastCol">
      <w:rPr>
        <w:b/>
        <w:bCs/>
        <w:color w:val="FFFFFF" w:themeColor="background1"/>
      </w:rPr>
      <w:tblPr/>
      <w:tcPr>
        <w:tcBorders>
          <w:left w:val="nil"/>
          <w:right w:val="nil"/>
          <w:insideH w:val="nil"/>
          <w:insideV w:val="nil"/>
        </w:tcBorders>
        <w:shd w:val="clear" w:color="auto" w:fill="F8A0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6509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509F" w:themeFill="accent5"/>
      </w:tcPr>
    </w:tblStylePr>
    <w:tblStylePr w:type="lastCol">
      <w:rPr>
        <w:b/>
        <w:bCs/>
        <w:color w:val="FFFFFF" w:themeColor="background1"/>
      </w:rPr>
      <w:tblPr/>
      <w:tcPr>
        <w:tcBorders>
          <w:left w:val="nil"/>
          <w:right w:val="nil"/>
          <w:insideH w:val="nil"/>
          <w:insideV w:val="nil"/>
        </w:tcBorders>
        <w:shd w:val="clear" w:color="auto" w:fill="86509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D449F"/>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54F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4F2F" w:themeFill="accent6"/>
      </w:tcPr>
    </w:tblStylePr>
    <w:tblStylePr w:type="lastCol">
      <w:rPr>
        <w:b/>
        <w:bCs/>
        <w:color w:val="FFFFFF" w:themeColor="background1"/>
      </w:rPr>
      <w:tblPr/>
      <w:tcPr>
        <w:tcBorders>
          <w:left w:val="nil"/>
          <w:right w:val="nil"/>
          <w:insideH w:val="nil"/>
          <w:insideV w:val="nil"/>
        </w:tcBorders>
        <w:shd w:val="clear" w:color="auto" w:fill="E54F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D449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D449F"/>
    <w:rPr>
      <w:rFonts w:asciiTheme="minorHAnsi" w:eastAsiaTheme="majorEastAsia" w:hAnsiTheme="minorHAnsi" w:cstheme="majorBidi"/>
      <w:sz w:val="24"/>
      <w:szCs w:val="24"/>
      <w:shd w:val="pct20" w:color="auto" w:fill="auto"/>
      <w:lang w:val="en-AU" w:eastAsia="ja-JP"/>
    </w:rPr>
  </w:style>
  <w:style w:type="paragraph" w:styleId="NoSpacing">
    <w:name w:val="No Spacing"/>
    <w:uiPriority w:val="97"/>
    <w:semiHidden/>
    <w:rsid w:val="00BD449F"/>
    <w:pPr>
      <w:adjustRightInd w:val="0"/>
      <w:snapToGrid w:val="0"/>
    </w:pPr>
    <w:rPr>
      <w:rFonts w:asciiTheme="minorHAnsi" w:hAnsiTheme="minorHAnsi"/>
      <w:lang w:val="en-AU" w:eastAsia="ja-JP"/>
    </w:rPr>
  </w:style>
  <w:style w:type="paragraph" w:styleId="NormalWeb">
    <w:name w:val="Normal (Web)"/>
    <w:basedOn w:val="Normal"/>
    <w:uiPriority w:val="97"/>
    <w:semiHidden/>
    <w:rsid w:val="00BD449F"/>
    <w:rPr>
      <w:sz w:val="24"/>
      <w:szCs w:val="24"/>
    </w:rPr>
  </w:style>
  <w:style w:type="paragraph" w:styleId="NormalIndent">
    <w:name w:val="Normal Indent"/>
    <w:basedOn w:val="Normal"/>
    <w:uiPriority w:val="97"/>
    <w:semiHidden/>
    <w:rsid w:val="00BD449F"/>
    <w:pPr>
      <w:ind w:left="720"/>
    </w:pPr>
  </w:style>
  <w:style w:type="paragraph" w:styleId="NoteHeading">
    <w:name w:val="Note Heading"/>
    <w:basedOn w:val="Normal"/>
    <w:next w:val="Normal"/>
    <w:link w:val="NoteHeadingChar"/>
    <w:uiPriority w:val="97"/>
    <w:semiHidden/>
    <w:rsid w:val="00BD449F"/>
    <w:pPr>
      <w:spacing w:line="240" w:lineRule="auto"/>
    </w:pPr>
    <w:rPr>
      <w:rFonts w:asciiTheme="majorHAnsi" w:hAnsiTheme="majorHAnsi"/>
    </w:rPr>
  </w:style>
  <w:style w:type="character" w:customStyle="1" w:styleId="NoteHeadingChar">
    <w:name w:val="Note Heading Char"/>
    <w:basedOn w:val="DefaultParagraphFont"/>
    <w:link w:val="NoteHeading"/>
    <w:rsid w:val="00BD449F"/>
    <w:rPr>
      <w:rFonts w:asciiTheme="majorHAnsi" w:hAnsiTheme="majorHAnsi"/>
      <w:lang w:val="en-AU" w:eastAsia="ja-JP"/>
    </w:rPr>
  </w:style>
  <w:style w:type="character" w:styleId="PlaceholderText">
    <w:name w:val="Placeholder Text"/>
    <w:basedOn w:val="DefaultParagraphFont"/>
    <w:uiPriority w:val="97"/>
    <w:semiHidden/>
    <w:rsid w:val="00BD449F"/>
    <w:rPr>
      <w:rFonts w:asciiTheme="minorHAnsi" w:hAnsiTheme="minorHAnsi"/>
      <w:color w:val="808080"/>
    </w:rPr>
  </w:style>
  <w:style w:type="paragraph" w:styleId="PlainText">
    <w:name w:val="Plain Text"/>
    <w:basedOn w:val="Normal"/>
    <w:link w:val="PlainTextChar"/>
    <w:uiPriority w:val="97"/>
    <w:semiHidden/>
    <w:rsid w:val="00BD449F"/>
    <w:pPr>
      <w:spacing w:line="240" w:lineRule="auto"/>
    </w:pPr>
    <w:rPr>
      <w:rFonts w:cs="Consolas"/>
      <w:sz w:val="21"/>
      <w:szCs w:val="21"/>
    </w:rPr>
  </w:style>
  <w:style w:type="character" w:customStyle="1" w:styleId="PlainTextChar">
    <w:name w:val="Plain Text Char"/>
    <w:basedOn w:val="DefaultParagraphFont"/>
    <w:link w:val="PlainText"/>
    <w:rsid w:val="00BD449F"/>
    <w:rPr>
      <w:rFonts w:asciiTheme="minorHAnsi" w:hAnsiTheme="minorHAnsi" w:cs="Consolas"/>
      <w:sz w:val="21"/>
      <w:szCs w:val="21"/>
      <w:lang w:val="en-AU" w:eastAsia="ja-JP"/>
    </w:rPr>
  </w:style>
  <w:style w:type="paragraph" w:styleId="Quote">
    <w:name w:val="Quote"/>
    <w:basedOn w:val="Normal"/>
    <w:next w:val="Normal"/>
    <w:link w:val="QuoteChar"/>
    <w:uiPriority w:val="97"/>
    <w:semiHidden/>
    <w:rsid w:val="00BD449F"/>
    <w:rPr>
      <w:i/>
      <w:iCs/>
      <w:color w:val="000000" w:themeColor="text1"/>
    </w:rPr>
  </w:style>
  <w:style w:type="character" w:customStyle="1" w:styleId="QuoteChar">
    <w:name w:val="Quote Char"/>
    <w:basedOn w:val="DefaultParagraphFont"/>
    <w:link w:val="Quote"/>
    <w:uiPriority w:val="29"/>
    <w:rsid w:val="00BD449F"/>
    <w:rPr>
      <w:rFonts w:asciiTheme="minorHAnsi" w:hAnsiTheme="minorHAnsi"/>
      <w:i/>
      <w:iCs/>
      <w:color w:val="000000" w:themeColor="text1"/>
      <w:lang w:val="en-AU" w:eastAsia="ja-JP"/>
    </w:rPr>
  </w:style>
  <w:style w:type="paragraph" w:styleId="Salutation">
    <w:name w:val="Salutation"/>
    <w:basedOn w:val="Normal"/>
    <w:next w:val="Normal"/>
    <w:link w:val="SalutationChar"/>
    <w:uiPriority w:val="97"/>
    <w:semiHidden/>
    <w:rsid w:val="00BD449F"/>
  </w:style>
  <w:style w:type="character" w:customStyle="1" w:styleId="SalutationChar">
    <w:name w:val="Salutation Char"/>
    <w:basedOn w:val="DefaultParagraphFont"/>
    <w:link w:val="Salutation"/>
    <w:rsid w:val="00BD449F"/>
    <w:rPr>
      <w:rFonts w:asciiTheme="minorHAnsi" w:hAnsiTheme="minorHAnsi"/>
      <w:lang w:val="en-AU" w:eastAsia="ja-JP"/>
    </w:rPr>
  </w:style>
  <w:style w:type="paragraph" w:styleId="Signature">
    <w:name w:val="Signature"/>
    <w:basedOn w:val="Normal"/>
    <w:link w:val="SignatureChar"/>
    <w:uiPriority w:val="97"/>
    <w:semiHidden/>
    <w:rsid w:val="00BD449F"/>
    <w:pPr>
      <w:spacing w:line="240" w:lineRule="auto"/>
      <w:ind w:left="4252"/>
    </w:pPr>
  </w:style>
  <w:style w:type="character" w:customStyle="1" w:styleId="SignatureChar">
    <w:name w:val="Signature Char"/>
    <w:basedOn w:val="DefaultParagraphFont"/>
    <w:link w:val="Signature"/>
    <w:rsid w:val="00BD449F"/>
    <w:rPr>
      <w:rFonts w:asciiTheme="minorHAnsi" w:hAnsiTheme="minorHAnsi"/>
      <w:lang w:val="en-AU" w:eastAsia="ja-JP"/>
    </w:rPr>
  </w:style>
  <w:style w:type="character" w:styleId="Strong">
    <w:name w:val="Strong"/>
    <w:basedOn w:val="DefaultParagraphFont"/>
    <w:uiPriority w:val="97"/>
    <w:semiHidden/>
    <w:rsid w:val="00BD449F"/>
    <w:rPr>
      <w:rFonts w:asciiTheme="minorHAnsi" w:hAnsiTheme="minorHAnsi"/>
      <w:b/>
      <w:bCs/>
    </w:rPr>
  </w:style>
  <w:style w:type="paragraph" w:styleId="Subtitle">
    <w:name w:val="Subtitle"/>
    <w:basedOn w:val="Normal"/>
    <w:next w:val="Normal"/>
    <w:link w:val="SubtitleChar"/>
    <w:uiPriority w:val="97"/>
    <w:semiHidden/>
    <w:rsid w:val="00BD449F"/>
    <w:pPr>
      <w:numPr>
        <w:ilvl w:val="1"/>
      </w:numPr>
    </w:pPr>
    <w:rPr>
      <w:rFonts w:eastAsiaTheme="majorEastAsia" w:cstheme="majorBidi"/>
      <w:i/>
      <w:iCs/>
      <w:color w:val="00B8BD" w:themeColor="accent1"/>
      <w:spacing w:val="15"/>
      <w:sz w:val="24"/>
      <w:szCs w:val="24"/>
    </w:rPr>
  </w:style>
  <w:style w:type="character" w:customStyle="1" w:styleId="SubtitleChar">
    <w:name w:val="Subtitle Char"/>
    <w:basedOn w:val="DefaultParagraphFont"/>
    <w:link w:val="Subtitle"/>
    <w:rsid w:val="00BD449F"/>
    <w:rPr>
      <w:rFonts w:asciiTheme="minorHAnsi" w:eastAsiaTheme="majorEastAsia" w:hAnsiTheme="minorHAnsi" w:cstheme="majorBidi"/>
      <w:i/>
      <w:iCs/>
      <w:color w:val="00B8BD" w:themeColor="accent1"/>
      <w:spacing w:val="15"/>
      <w:sz w:val="24"/>
      <w:szCs w:val="24"/>
      <w:lang w:val="en-AU" w:eastAsia="ja-JP"/>
    </w:rPr>
  </w:style>
  <w:style w:type="character" w:styleId="SubtleEmphasis">
    <w:name w:val="Subtle Emphasis"/>
    <w:basedOn w:val="DefaultParagraphFont"/>
    <w:uiPriority w:val="97"/>
    <w:semiHidden/>
    <w:rsid w:val="00BD449F"/>
    <w:rPr>
      <w:rFonts w:asciiTheme="minorHAnsi" w:hAnsiTheme="minorHAnsi"/>
      <w:i/>
      <w:iCs/>
      <w:color w:val="808080" w:themeColor="text1" w:themeTint="7F"/>
    </w:rPr>
  </w:style>
  <w:style w:type="character" w:styleId="SubtleReference">
    <w:name w:val="Subtle Reference"/>
    <w:basedOn w:val="DefaultParagraphFont"/>
    <w:uiPriority w:val="97"/>
    <w:semiHidden/>
    <w:rsid w:val="00BD449F"/>
    <w:rPr>
      <w:rFonts w:asciiTheme="minorHAnsi" w:hAnsiTheme="minorHAnsi"/>
      <w:smallCaps/>
      <w:color w:val="8DB93F" w:themeColor="accent2"/>
      <w:u w:val="single"/>
    </w:rPr>
  </w:style>
  <w:style w:type="table" w:styleId="Table3Deffects1">
    <w:name w:val="Table 3D effects 1"/>
    <w:basedOn w:val="TableNormal"/>
    <w:uiPriority w:val="98"/>
    <w:rsid w:val="00BD449F"/>
    <w:pPr>
      <w:adjustRightInd w:val="0"/>
      <w:snapToGrid w:val="0"/>
      <w:spacing w:line="240" w:lineRule="atLeast"/>
    </w:p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D449F"/>
    <w:pPr>
      <w:adjustRightInd w:val="0"/>
      <w:snapToGrid w:val="0"/>
      <w:spacing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D449F"/>
    <w:pPr>
      <w:adjustRightInd w:val="0"/>
      <w:snapToGrid w:val="0"/>
      <w:spacing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D449F"/>
    <w:pPr>
      <w:adjustRightInd w:val="0"/>
      <w:snapToGrid w:val="0"/>
      <w:spacing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D449F"/>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D449F"/>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D449F"/>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D449F"/>
    <w:pPr>
      <w:adjustRightInd w:val="0"/>
      <w:snapToGrid w:val="0"/>
      <w:spacing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D449F"/>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D449F"/>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D449F"/>
    <w:pPr>
      <w:adjustRightInd w:val="0"/>
      <w:snapToGrid w:val="0"/>
      <w:spacing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D449F"/>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D449F"/>
    <w:pPr>
      <w:adjustRightInd w:val="0"/>
      <w:snapToGrid w:val="0"/>
      <w:spacing w:line="240" w:lineRule="atLeast"/>
    </w:p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D449F"/>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D449F"/>
    <w:pPr>
      <w:adjustRightInd w:val="0"/>
      <w:snapToGrid w:val="0"/>
      <w:spacing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D449F"/>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D449F"/>
    <w:pPr>
      <w:adjustRightInd w:val="0"/>
      <w:snapToGrid w:val="0"/>
      <w:spacing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D449F"/>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D449F"/>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D449F"/>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D449F"/>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D449F"/>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D449F"/>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D449F"/>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D449F"/>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D449F"/>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D449F"/>
    <w:pPr>
      <w:ind w:left="200" w:hanging="200"/>
    </w:pPr>
  </w:style>
  <w:style w:type="paragraph" w:styleId="TableofFigures">
    <w:name w:val="table of figures"/>
    <w:basedOn w:val="Normal"/>
    <w:next w:val="Normal"/>
    <w:uiPriority w:val="97"/>
    <w:semiHidden/>
    <w:rsid w:val="00BD449F"/>
  </w:style>
  <w:style w:type="table" w:styleId="TableProfessional">
    <w:name w:val="Table Professional"/>
    <w:basedOn w:val="TableNormal"/>
    <w:uiPriority w:val="98"/>
    <w:rsid w:val="00BD449F"/>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D449F"/>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D449F"/>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D449F"/>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D449F"/>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D449F"/>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D449F"/>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D449F"/>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D449F"/>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D449F"/>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BD449F"/>
    <w:pPr>
      <w:pBdr>
        <w:bottom w:val="single" w:sz="8" w:space="4" w:color="00B8BD" w:themeColor="accent1"/>
      </w:pBdr>
      <w:spacing w:after="300" w:line="240" w:lineRule="auto"/>
      <w:contextualSpacing/>
    </w:pPr>
    <w:rPr>
      <w:rFonts w:eastAsiaTheme="majorEastAsia" w:cstheme="majorBidi"/>
      <w:color w:val="0085B1" w:themeColor="text2" w:themeShade="BF"/>
      <w:spacing w:val="5"/>
      <w:kern w:val="28"/>
      <w:sz w:val="52"/>
      <w:szCs w:val="52"/>
    </w:rPr>
  </w:style>
  <w:style w:type="character" w:customStyle="1" w:styleId="TitleChar">
    <w:name w:val="Title Char"/>
    <w:basedOn w:val="DefaultParagraphFont"/>
    <w:link w:val="Title"/>
    <w:rsid w:val="00BD449F"/>
    <w:rPr>
      <w:rFonts w:asciiTheme="minorHAnsi" w:eastAsiaTheme="majorEastAsia" w:hAnsiTheme="minorHAnsi" w:cstheme="majorBidi"/>
      <w:color w:val="0085B1" w:themeColor="text2" w:themeShade="BF"/>
      <w:spacing w:val="5"/>
      <w:kern w:val="28"/>
      <w:sz w:val="52"/>
      <w:szCs w:val="52"/>
      <w:lang w:val="en-AU" w:eastAsia="ja-JP"/>
    </w:rPr>
  </w:style>
  <w:style w:type="paragraph" w:styleId="TOAHeading">
    <w:name w:val="toa heading"/>
    <w:basedOn w:val="Normal"/>
    <w:next w:val="Normal"/>
    <w:uiPriority w:val="97"/>
    <w:semiHidden/>
    <w:rsid w:val="00BD44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7"/>
    <w:semiHidden/>
    <w:rsid w:val="00BD449F"/>
    <w:pPr>
      <w:spacing w:after="100"/>
    </w:pPr>
  </w:style>
  <w:style w:type="paragraph" w:styleId="TOC2">
    <w:name w:val="toc 2"/>
    <w:basedOn w:val="Normal"/>
    <w:next w:val="Normal"/>
    <w:autoRedefine/>
    <w:uiPriority w:val="97"/>
    <w:semiHidden/>
    <w:rsid w:val="00BD449F"/>
    <w:pPr>
      <w:spacing w:after="100"/>
      <w:ind w:left="200"/>
    </w:pPr>
  </w:style>
  <w:style w:type="paragraph" w:styleId="TOC3">
    <w:name w:val="toc 3"/>
    <w:basedOn w:val="Normal"/>
    <w:next w:val="Normal"/>
    <w:autoRedefine/>
    <w:uiPriority w:val="97"/>
    <w:semiHidden/>
    <w:rsid w:val="00BD449F"/>
    <w:pPr>
      <w:spacing w:after="100"/>
      <w:ind w:left="400"/>
    </w:pPr>
  </w:style>
  <w:style w:type="paragraph" w:styleId="TOC4">
    <w:name w:val="toc 4"/>
    <w:basedOn w:val="Normal"/>
    <w:next w:val="Normal"/>
    <w:autoRedefine/>
    <w:uiPriority w:val="97"/>
    <w:semiHidden/>
    <w:rsid w:val="00BD449F"/>
    <w:pPr>
      <w:spacing w:after="100"/>
      <w:ind w:left="600"/>
    </w:pPr>
  </w:style>
  <w:style w:type="paragraph" w:styleId="TOC5">
    <w:name w:val="toc 5"/>
    <w:basedOn w:val="Normal"/>
    <w:next w:val="Normal"/>
    <w:autoRedefine/>
    <w:uiPriority w:val="97"/>
    <w:semiHidden/>
    <w:rsid w:val="00BD449F"/>
    <w:pPr>
      <w:spacing w:after="100"/>
      <w:ind w:left="800"/>
    </w:pPr>
  </w:style>
  <w:style w:type="paragraph" w:styleId="TOC6">
    <w:name w:val="toc 6"/>
    <w:basedOn w:val="Normal"/>
    <w:next w:val="Normal"/>
    <w:autoRedefine/>
    <w:uiPriority w:val="97"/>
    <w:semiHidden/>
    <w:rsid w:val="00BD449F"/>
    <w:pPr>
      <w:spacing w:after="100"/>
      <w:ind w:left="1000"/>
    </w:pPr>
  </w:style>
  <w:style w:type="paragraph" w:styleId="TOC7">
    <w:name w:val="toc 7"/>
    <w:basedOn w:val="Normal"/>
    <w:next w:val="Normal"/>
    <w:autoRedefine/>
    <w:uiPriority w:val="97"/>
    <w:semiHidden/>
    <w:rsid w:val="00BD449F"/>
    <w:pPr>
      <w:spacing w:after="100"/>
      <w:ind w:left="1200"/>
    </w:pPr>
  </w:style>
  <w:style w:type="paragraph" w:styleId="TOC8">
    <w:name w:val="toc 8"/>
    <w:basedOn w:val="Normal"/>
    <w:next w:val="Normal"/>
    <w:autoRedefine/>
    <w:uiPriority w:val="97"/>
    <w:semiHidden/>
    <w:rsid w:val="00BD449F"/>
    <w:pPr>
      <w:spacing w:after="100"/>
      <w:ind w:left="1400"/>
    </w:pPr>
  </w:style>
  <w:style w:type="paragraph" w:styleId="TOC9">
    <w:name w:val="toc 9"/>
    <w:basedOn w:val="Normal"/>
    <w:next w:val="Normal"/>
    <w:autoRedefine/>
    <w:uiPriority w:val="97"/>
    <w:semiHidden/>
    <w:rsid w:val="00BD449F"/>
    <w:pPr>
      <w:spacing w:after="100"/>
      <w:ind w:left="1600"/>
    </w:pPr>
  </w:style>
  <w:style w:type="paragraph" w:styleId="TOCHeading">
    <w:name w:val="TOC Heading"/>
    <w:basedOn w:val="Heading1"/>
    <w:next w:val="Normal"/>
    <w:uiPriority w:val="97"/>
    <w:semiHidden/>
    <w:unhideWhenUsed/>
    <w:qFormat/>
    <w:rsid w:val="00BD449F"/>
    <w:pPr>
      <w:keepLines/>
      <w:spacing w:before="480"/>
      <w:outlineLvl w:val="9"/>
    </w:pPr>
    <w:rPr>
      <w:rFonts w:eastAsiaTheme="majorEastAsia" w:cstheme="majorBidi"/>
      <w:color w:val="00898D" w:themeColor="accent1" w:themeShade="BF"/>
      <w:szCs w:val="28"/>
    </w:rPr>
  </w:style>
  <w:style w:type="character" w:customStyle="1" w:styleId="HeaderChar">
    <w:name w:val="Header Char"/>
    <w:basedOn w:val="DefaultParagraphFont"/>
    <w:link w:val="Header"/>
    <w:uiPriority w:val="9"/>
    <w:rsid w:val="00AC473D"/>
    <w:rPr>
      <w:rFonts w:asciiTheme="minorHAnsi" w:hAnsiTheme="minorHAnsi"/>
      <w:color w:val="867E78"/>
      <w:sz w:val="18"/>
      <w:lang w:val="en-AU" w:eastAsia="ja-JP"/>
    </w:rPr>
  </w:style>
  <w:style w:type="paragraph" w:customStyle="1" w:styleId="Address">
    <w:name w:val="Address"/>
    <w:basedOn w:val="Normal"/>
    <w:rsid w:val="007E79C4"/>
    <w:pPr>
      <w:ind w:left="1361"/>
    </w:pPr>
  </w:style>
  <w:style w:type="character" w:customStyle="1" w:styleId="FooterChar">
    <w:name w:val="Footer Char"/>
    <w:basedOn w:val="DefaultParagraphFont"/>
    <w:link w:val="Footer"/>
    <w:uiPriority w:val="99"/>
    <w:rsid w:val="007F569A"/>
    <w:rPr>
      <w:rFonts w:asciiTheme="minorHAnsi" w:hAnsiTheme="minorHAnsi"/>
      <w:color w:val="867E78"/>
      <w:sz w:val="12"/>
      <w:szCs w:val="14"/>
      <w:lang w:val="en-AU" w:eastAsia="ja-JP"/>
    </w:rPr>
  </w:style>
  <w:style w:type="character" w:customStyle="1" w:styleId="Heading1Char">
    <w:name w:val="Heading 1 Char"/>
    <w:basedOn w:val="DefaultParagraphFont"/>
    <w:link w:val="Heading1"/>
    <w:uiPriority w:val="99"/>
    <w:locked/>
    <w:rsid w:val="00BA3697"/>
    <w:rPr>
      <w:rFonts w:asciiTheme="majorHAnsi" w:hAnsiTheme="majorHAnsi" w:cs="Arial"/>
      <w:b/>
      <w:bCs/>
      <w:sz w:val="28"/>
      <w:lang w:val="en-AU" w:eastAsia="ja-JP"/>
    </w:rPr>
  </w:style>
  <w:style w:type="paragraph" w:customStyle="1" w:styleId="Default">
    <w:name w:val="Default"/>
    <w:rsid w:val="00AA4A97"/>
    <w:pPr>
      <w:widowControl w:val="0"/>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edback.lifetimecare@icare.nsw.gov.a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care">
      <a:dk1>
        <a:sysClr val="windowText" lastClr="000000"/>
      </a:dk1>
      <a:lt1>
        <a:sysClr val="window" lastClr="FFFFFF"/>
      </a:lt1>
      <a:dk2>
        <a:srgbClr val="00B3ED"/>
      </a:dk2>
      <a:lt2>
        <a:srgbClr val="FFE200"/>
      </a:lt2>
      <a:accent1>
        <a:srgbClr val="00B8BD"/>
      </a:accent1>
      <a:accent2>
        <a:srgbClr val="8DB93F"/>
      </a:accent2>
      <a:accent3>
        <a:srgbClr val="E0048B"/>
      </a:accent3>
      <a:accent4>
        <a:srgbClr val="F8A034"/>
      </a:accent4>
      <a:accent5>
        <a:srgbClr val="86509F"/>
      </a:accent5>
      <a:accent6>
        <a:srgbClr val="E54F2F"/>
      </a:accent6>
      <a:hlink>
        <a:srgbClr val="0000FF"/>
      </a:hlink>
      <a:folHlink>
        <a:srgbClr val="800080"/>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6251</Words>
  <Characters>35634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SRWS</Company>
  <LinksUpToDate>false</LinksUpToDate>
  <CharactersWithSpaces>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Deborah</dc:creator>
  <cp:lastModifiedBy>Bain, Catherine</cp:lastModifiedBy>
  <cp:revision>2</cp:revision>
  <cp:lastPrinted>2018-08-13T02:02:00Z</cp:lastPrinted>
  <dcterms:created xsi:type="dcterms:W3CDTF">2018-08-20T05:53:00Z</dcterms:created>
  <dcterms:modified xsi:type="dcterms:W3CDTF">2018-08-20T05:53:00Z</dcterms:modified>
</cp:coreProperties>
</file>