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CC5" w:rsidRPr="00717B48" w:rsidRDefault="00E93501" w:rsidP="008B3F90">
      <w:pPr>
        <w:spacing w:after="0" w:line="240" w:lineRule="auto"/>
        <w:rPr>
          <w:rFonts w:cstheme="minorHAnsi"/>
          <w:b/>
          <w:sz w:val="24"/>
          <w:szCs w:val="24"/>
        </w:rPr>
      </w:pPr>
      <w:r w:rsidRPr="00717B48">
        <w:rPr>
          <w:rFonts w:cstheme="minorHAnsi"/>
          <w:b/>
          <w:sz w:val="24"/>
          <w:szCs w:val="24"/>
        </w:rPr>
        <w:t>Lifetime Care and Support Guidelines:</w:t>
      </w:r>
      <w:r w:rsidR="004A68F9">
        <w:rPr>
          <w:rFonts w:cstheme="minorHAnsi"/>
          <w:b/>
          <w:sz w:val="24"/>
          <w:szCs w:val="24"/>
        </w:rPr>
        <w:t xml:space="preserve"> Disputes Guidelines and new draft Travel Guideline</w:t>
      </w:r>
    </w:p>
    <w:p w:rsidR="004B2CC5" w:rsidRPr="00717B48" w:rsidRDefault="004B2CC5" w:rsidP="008B3F90">
      <w:pPr>
        <w:spacing w:after="0" w:line="240" w:lineRule="auto"/>
        <w:jc w:val="center"/>
        <w:rPr>
          <w:rFonts w:cstheme="minorHAnsi"/>
          <w:b/>
          <w:sz w:val="24"/>
          <w:szCs w:val="24"/>
        </w:rPr>
      </w:pPr>
    </w:p>
    <w:p w:rsidR="00B64405" w:rsidRPr="00717B48" w:rsidRDefault="00EA6C68" w:rsidP="00B64405">
      <w:pPr>
        <w:spacing w:after="0" w:line="240" w:lineRule="auto"/>
        <w:rPr>
          <w:rFonts w:cs="Calibri"/>
          <w:sz w:val="24"/>
          <w:szCs w:val="24"/>
        </w:rPr>
      </w:pPr>
      <w:r w:rsidRPr="00717B48">
        <w:rPr>
          <w:rFonts w:cstheme="minorHAnsi"/>
          <w:sz w:val="24"/>
          <w:szCs w:val="24"/>
        </w:rPr>
        <w:t xml:space="preserve">This document is to explain the proposed </w:t>
      </w:r>
      <w:r w:rsidR="004B2CC5" w:rsidRPr="00717B48">
        <w:rPr>
          <w:rFonts w:cstheme="minorHAnsi"/>
          <w:sz w:val="24"/>
          <w:szCs w:val="24"/>
        </w:rPr>
        <w:t xml:space="preserve">changes to </w:t>
      </w:r>
      <w:r w:rsidR="00B3536B">
        <w:rPr>
          <w:rFonts w:cstheme="minorHAnsi"/>
          <w:sz w:val="24"/>
          <w:szCs w:val="24"/>
        </w:rPr>
        <w:t xml:space="preserve">the draft </w:t>
      </w:r>
      <w:r w:rsidR="004B2CC5" w:rsidRPr="00717B48">
        <w:rPr>
          <w:rFonts w:cstheme="minorHAnsi"/>
          <w:sz w:val="24"/>
          <w:szCs w:val="24"/>
        </w:rPr>
        <w:t>Guidelines</w:t>
      </w:r>
      <w:r w:rsidR="00B3536B">
        <w:rPr>
          <w:rFonts w:cstheme="minorHAnsi"/>
          <w:sz w:val="24"/>
          <w:szCs w:val="24"/>
        </w:rPr>
        <w:t xml:space="preserve"> for disputes</w:t>
      </w:r>
      <w:r w:rsidR="004B2CC5" w:rsidRPr="00717B48">
        <w:rPr>
          <w:rFonts w:cstheme="minorHAnsi"/>
          <w:sz w:val="24"/>
          <w:szCs w:val="24"/>
        </w:rPr>
        <w:t xml:space="preserve"> since the previous versions were circulated in December 2017. This document is to be read in conjunction with the draft parts.</w:t>
      </w:r>
      <w:r w:rsidR="00CA6043" w:rsidRPr="00717B48">
        <w:rPr>
          <w:rFonts w:cstheme="minorHAnsi"/>
          <w:sz w:val="24"/>
          <w:szCs w:val="24"/>
        </w:rPr>
        <w:t xml:space="preserve"> </w:t>
      </w:r>
      <w:r w:rsidR="00B3536B" w:rsidRPr="00717B48">
        <w:rPr>
          <w:rFonts w:cstheme="minorHAnsi"/>
          <w:sz w:val="24"/>
          <w:szCs w:val="24"/>
        </w:rPr>
        <w:t xml:space="preserve">Similar changes have been made to the disputes guidelines so have been grouped together. </w:t>
      </w:r>
      <w:r w:rsidR="00B64405" w:rsidRPr="00717B48">
        <w:rPr>
          <w:rFonts w:cs="Calibri"/>
          <w:sz w:val="24"/>
          <w:szCs w:val="24"/>
        </w:rPr>
        <w:t>The extent of changes and reordering unfortunately means that we cannot send a marked-up version of the guidelines which includes the proposed changes.</w:t>
      </w:r>
    </w:p>
    <w:p w:rsidR="00B64405" w:rsidRDefault="00B64405" w:rsidP="00B64405">
      <w:pPr>
        <w:spacing w:after="0" w:line="240" w:lineRule="auto"/>
        <w:rPr>
          <w:rFonts w:cs="Calibri"/>
          <w:b/>
          <w:sz w:val="24"/>
          <w:szCs w:val="24"/>
        </w:rPr>
      </w:pPr>
    </w:p>
    <w:p w:rsidR="00B3536B" w:rsidRPr="00B3536B" w:rsidRDefault="00B3536B" w:rsidP="00B64405">
      <w:pPr>
        <w:spacing w:after="0" w:line="240" w:lineRule="auto"/>
        <w:rPr>
          <w:rFonts w:cs="Calibri"/>
          <w:sz w:val="24"/>
          <w:szCs w:val="24"/>
        </w:rPr>
      </w:pPr>
      <w:r w:rsidRPr="00B3536B">
        <w:rPr>
          <w:rFonts w:cs="Calibri"/>
          <w:sz w:val="24"/>
          <w:szCs w:val="24"/>
        </w:rPr>
        <w:t>Lifetime Care has also drafted a new Guideline about payment of travel expenses, for or in connection with assessed treatment and care needs</w:t>
      </w:r>
      <w:r w:rsidR="00415C58">
        <w:rPr>
          <w:rFonts w:cs="Calibri"/>
          <w:sz w:val="24"/>
          <w:szCs w:val="24"/>
        </w:rPr>
        <w:t>.</w:t>
      </w:r>
      <w:r w:rsidR="004A68F9">
        <w:rPr>
          <w:rFonts w:cs="Calibri"/>
          <w:sz w:val="24"/>
          <w:szCs w:val="24"/>
        </w:rPr>
        <w:t xml:space="preserve"> This Guideline is based on Lifetime Care’s existing Participant Travel Policy.</w:t>
      </w:r>
      <w:r w:rsidR="00415C58">
        <w:rPr>
          <w:rFonts w:cs="Calibri"/>
          <w:sz w:val="24"/>
          <w:szCs w:val="24"/>
        </w:rPr>
        <w:t xml:space="preserve"> The purpose of this guideline is to clarify the travel expenses that Lifetime Care is able to fund</w:t>
      </w:r>
      <w:r w:rsidR="008242EB">
        <w:rPr>
          <w:rFonts w:cs="Calibri"/>
          <w:sz w:val="24"/>
          <w:szCs w:val="24"/>
        </w:rPr>
        <w:t xml:space="preserve">. </w:t>
      </w:r>
    </w:p>
    <w:p w:rsidR="00B3536B" w:rsidRPr="00717B48" w:rsidRDefault="00B3536B" w:rsidP="00B64405">
      <w:pPr>
        <w:spacing w:after="0" w:line="240" w:lineRule="auto"/>
        <w:rPr>
          <w:rFonts w:cs="Calibri"/>
          <w:b/>
          <w:sz w:val="24"/>
          <w:szCs w:val="24"/>
        </w:rPr>
      </w:pPr>
    </w:p>
    <w:p w:rsidR="002F059F" w:rsidRPr="00717B48" w:rsidRDefault="00EA6C68" w:rsidP="008B3F90">
      <w:pPr>
        <w:spacing w:after="0" w:line="240" w:lineRule="auto"/>
        <w:rPr>
          <w:rFonts w:cstheme="minorHAnsi"/>
          <w:sz w:val="24"/>
          <w:szCs w:val="24"/>
        </w:rPr>
      </w:pPr>
      <w:r w:rsidRPr="00717B48">
        <w:rPr>
          <w:rFonts w:cstheme="minorHAnsi"/>
          <w:sz w:val="24"/>
          <w:szCs w:val="24"/>
        </w:rPr>
        <w:t>Lifetime Care welcomes feedback on the</w:t>
      </w:r>
      <w:r w:rsidR="00B3536B">
        <w:rPr>
          <w:rFonts w:cstheme="minorHAnsi"/>
          <w:sz w:val="24"/>
          <w:szCs w:val="24"/>
        </w:rPr>
        <w:t>se draft</w:t>
      </w:r>
      <w:r w:rsidRPr="00717B48">
        <w:rPr>
          <w:rFonts w:cstheme="minorHAnsi"/>
          <w:sz w:val="24"/>
          <w:szCs w:val="24"/>
        </w:rPr>
        <w:t xml:space="preserve"> guidelines. </w:t>
      </w:r>
    </w:p>
    <w:p w:rsidR="00EA6C68" w:rsidRPr="00717B48" w:rsidRDefault="00EA6C68" w:rsidP="008B3F90">
      <w:pPr>
        <w:spacing w:after="0" w:line="240" w:lineRule="auto"/>
        <w:rPr>
          <w:rFonts w:cstheme="minorHAnsi"/>
          <w:sz w:val="24"/>
          <w:szCs w:val="24"/>
        </w:rPr>
      </w:pPr>
    </w:p>
    <w:p w:rsidR="009C0193" w:rsidRPr="00717B48" w:rsidRDefault="009C0193" w:rsidP="008B3F90">
      <w:pPr>
        <w:spacing w:after="0" w:line="240" w:lineRule="auto"/>
        <w:rPr>
          <w:rFonts w:cstheme="minorHAnsi"/>
          <w:b/>
          <w:sz w:val="24"/>
          <w:szCs w:val="24"/>
        </w:rPr>
      </w:pPr>
      <w:r w:rsidRPr="00717B48">
        <w:rPr>
          <w:rFonts w:cstheme="minorHAnsi"/>
          <w:b/>
          <w:sz w:val="24"/>
          <w:szCs w:val="24"/>
        </w:rPr>
        <w:t>Disputes guidelines</w:t>
      </w:r>
      <w:r w:rsidR="00B3536B">
        <w:rPr>
          <w:rFonts w:cstheme="minorHAnsi"/>
          <w:b/>
          <w:sz w:val="24"/>
          <w:szCs w:val="24"/>
        </w:rPr>
        <w:t xml:space="preserve"> (Parts 2 and 4</w:t>
      </w:r>
      <w:r w:rsidR="00DE4623" w:rsidRPr="00717B48">
        <w:rPr>
          <w:rFonts w:cstheme="minorHAnsi"/>
          <w:b/>
          <w:sz w:val="24"/>
          <w:szCs w:val="24"/>
        </w:rPr>
        <w:t>)</w:t>
      </w:r>
    </w:p>
    <w:p w:rsidR="009C0193" w:rsidRPr="00717B48" w:rsidRDefault="009C0193" w:rsidP="008B3F90">
      <w:pPr>
        <w:spacing w:after="0" w:line="240" w:lineRule="auto"/>
        <w:rPr>
          <w:rFonts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6"/>
        <w:gridCol w:w="5030"/>
      </w:tblGrid>
      <w:tr w:rsidR="00D72747" w:rsidRPr="00717B48" w:rsidTr="00CA6043">
        <w:tc>
          <w:tcPr>
            <w:tcW w:w="3986" w:type="dxa"/>
            <w:tcBorders>
              <w:top w:val="single" w:sz="4" w:space="0" w:color="auto"/>
              <w:left w:val="single" w:sz="4" w:space="0" w:color="auto"/>
              <w:bottom w:val="single" w:sz="4" w:space="0" w:color="auto"/>
              <w:right w:val="single" w:sz="4" w:space="0" w:color="auto"/>
            </w:tcBorders>
            <w:hideMark/>
          </w:tcPr>
          <w:p w:rsidR="004B2CC5" w:rsidRPr="00717B48" w:rsidRDefault="004B2CC5" w:rsidP="008B3F90">
            <w:pPr>
              <w:spacing w:after="0" w:line="240" w:lineRule="auto"/>
              <w:rPr>
                <w:rFonts w:cstheme="minorHAnsi"/>
                <w:sz w:val="24"/>
                <w:szCs w:val="24"/>
              </w:rPr>
            </w:pPr>
            <w:r w:rsidRPr="00717B48">
              <w:rPr>
                <w:rFonts w:cstheme="minorHAnsi"/>
                <w:b/>
                <w:sz w:val="24"/>
                <w:szCs w:val="24"/>
              </w:rPr>
              <w:t>Sections and headings</w:t>
            </w:r>
          </w:p>
        </w:tc>
        <w:tc>
          <w:tcPr>
            <w:tcW w:w="5030" w:type="dxa"/>
            <w:tcBorders>
              <w:top w:val="single" w:sz="4" w:space="0" w:color="auto"/>
              <w:left w:val="single" w:sz="4" w:space="0" w:color="auto"/>
              <w:bottom w:val="single" w:sz="4" w:space="0" w:color="auto"/>
              <w:right w:val="single" w:sz="4" w:space="0" w:color="auto"/>
            </w:tcBorders>
          </w:tcPr>
          <w:p w:rsidR="004B2CC5" w:rsidRPr="00717B48" w:rsidRDefault="004B2CC5" w:rsidP="008B3F90">
            <w:pPr>
              <w:spacing w:after="0" w:line="240" w:lineRule="auto"/>
              <w:rPr>
                <w:rFonts w:cstheme="minorHAnsi"/>
                <w:b/>
                <w:sz w:val="24"/>
                <w:szCs w:val="24"/>
              </w:rPr>
            </w:pPr>
            <w:r w:rsidRPr="00717B48">
              <w:rPr>
                <w:rFonts w:cstheme="minorHAnsi"/>
                <w:b/>
                <w:sz w:val="24"/>
                <w:szCs w:val="24"/>
              </w:rPr>
              <w:t>Key Changes</w:t>
            </w:r>
          </w:p>
          <w:p w:rsidR="004B2CC5" w:rsidRPr="00717B48" w:rsidRDefault="004B2CC5" w:rsidP="008B3F90">
            <w:pPr>
              <w:spacing w:after="0" w:line="240" w:lineRule="auto"/>
              <w:rPr>
                <w:rFonts w:cstheme="minorHAnsi"/>
                <w:b/>
                <w:sz w:val="24"/>
                <w:szCs w:val="24"/>
              </w:rPr>
            </w:pPr>
          </w:p>
        </w:tc>
      </w:tr>
      <w:tr w:rsidR="000735C5" w:rsidRPr="00717B48" w:rsidTr="00CA6043">
        <w:tc>
          <w:tcPr>
            <w:tcW w:w="3986" w:type="dxa"/>
            <w:tcBorders>
              <w:top w:val="single" w:sz="4" w:space="0" w:color="auto"/>
              <w:left w:val="single" w:sz="4" w:space="0" w:color="auto"/>
              <w:bottom w:val="single" w:sz="4" w:space="0" w:color="auto"/>
              <w:right w:val="single" w:sz="4" w:space="0" w:color="auto"/>
            </w:tcBorders>
          </w:tcPr>
          <w:p w:rsidR="000735C5" w:rsidRPr="00717B48" w:rsidRDefault="000735C5" w:rsidP="008B3F90">
            <w:pPr>
              <w:spacing w:after="0" w:line="240" w:lineRule="auto"/>
              <w:rPr>
                <w:rFonts w:cstheme="minorHAnsi"/>
                <w:sz w:val="24"/>
                <w:szCs w:val="24"/>
              </w:rPr>
            </w:pPr>
            <w:r w:rsidRPr="00717B48">
              <w:rPr>
                <w:rFonts w:cstheme="minorHAnsi"/>
                <w:sz w:val="24"/>
                <w:szCs w:val="24"/>
              </w:rPr>
              <w:t>Part 3</w:t>
            </w:r>
            <w:r w:rsidR="00A87DE2" w:rsidRPr="00717B48">
              <w:rPr>
                <w:rFonts w:cstheme="minorHAnsi"/>
                <w:sz w:val="24"/>
                <w:szCs w:val="24"/>
              </w:rPr>
              <w:t xml:space="preserve">: Guidelines for disputes about motor accident injury </w:t>
            </w:r>
          </w:p>
          <w:p w:rsidR="000735C5" w:rsidRPr="00717B48" w:rsidRDefault="000735C5" w:rsidP="008B3F90">
            <w:pPr>
              <w:spacing w:after="0" w:line="240" w:lineRule="auto"/>
              <w:rPr>
                <w:rFonts w:cstheme="minorHAnsi"/>
                <w:b/>
                <w:sz w:val="24"/>
                <w:szCs w:val="24"/>
              </w:rPr>
            </w:pPr>
          </w:p>
        </w:tc>
        <w:tc>
          <w:tcPr>
            <w:tcW w:w="5030" w:type="dxa"/>
            <w:tcBorders>
              <w:top w:val="single" w:sz="4" w:space="0" w:color="auto"/>
              <w:left w:val="single" w:sz="4" w:space="0" w:color="auto"/>
              <w:bottom w:val="single" w:sz="4" w:space="0" w:color="auto"/>
              <w:right w:val="single" w:sz="4" w:space="0" w:color="auto"/>
            </w:tcBorders>
          </w:tcPr>
          <w:p w:rsidR="000735C5" w:rsidRPr="00717B48" w:rsidRDefault="000735C5" w:rsidP="008B3F90">
            <w:pPr>
              <w:spacing w:after="0" w:line="240" w:lineRule="auto"/>
              <w:rPr>
                <w:rFonts w:cstheme="minorHAnsi"/>
                <w:sz w:val="24"/>
                <w:szCs w:val="24"/>
              </w:rPr>
            </w:pPr>
            <w:r w:rsidRPr="00717B48">
              <w:rPr>
                <w:rFonts w:cstheme="minorHAnsi"/>
                <w:sz w:val="24"/>
                <w:szCs w:val="24"/>
              </w:rPr>
              <w:t>The existing Part 3: Guidelines for disputes about motor accident injury, requires revision as a re</w:t>
            </w:r>
            <w:r w:rsidR="009C0193" w:rsidRPr="00717B48">
              <w:rPr>
                <w:rFonts w:cstheme="minorHAnsi"/>
                <w:sz w:val="24"/>
                <w:szCs w:val="24"/>
              </w:rPr>
              <w:t>sult of the changes to the CTP s</w:t>
            </w:r>
            <w:r w:rsidRPr="00717B48">
              <w:rPr>
                <w:rFonts w:cstheme="minorHAnsi"/>
                <w:sz w:val="24"/>
                <w:szCs w:val="24"/>
              </w:rPr>
              <w:t>cheme in December 2017.</w:t>
            </w:r>
            <w:r w:rsidR="00B83EA8" w:rsidRPr="00717B48">
              <w:rPr>
                <w:rFonts w:cstheme="minorHAnsi"/>
                <w:sz w:val="24"/>
                <w:szCs w:val="24"/>
              </w:rPr>
              <w:t xml:space="preserve"> Lifetime Care has also recognised that there may be questions of statutory power to issue a guideline relating to dispute</w:t>
            </w:r>
            <w:r w:rsidR="00F70665" w:rsidRPr="00717B48">
              <w:rPr>
                <w:rFonts w:cstheme="minorHAnsi"/>
                <w:sz w:val="24"/>
                <w:szCs w:val="24"/>
              </w:rPr>
              <w:t>s</w:t>
            </w:r>
            <w:r w:rsidR="00B83EA8" w:rsidRPr="00717B48">
              <w:rPr>
                <w:rFonts w:cstheme="minorHAnsi"/>
                <w:sz w:val="24"/>
                <w:szCs w:val="24"/>
              </w:rPr>
              <w:t xml:space="preserve"> referred to the Principal Claims Assessor</w:t>
            </w:r>
            <w:r w:rsidR="00F70665" w:rsidRPr="00717B48">
              <w:rPr>
                <w:rFonts w:cstheme="minorHAnsi"/>
                <w:sz w:val="24"/>
                <w:szCs w:val="24"/>
              </w:rPr>
              <w:t>,</w:t>
            </w:r>
            <w:r w:rsidR="00234075" w:rsidRPr="00717B48">
              <w:rPr>
                <w:rFonts w:cstheme="minorHAnsi"/>
                <w:sz w:val="24"/>
                <w:szCs w:val="24"/>
              </w:rPr>
              <w:t xml:space="preserve"> </w:t>
            </w:r>
            <w:r w:rsidR="00B83EA8" w:rsidRPr="00717B48">
              <w:rPr>
                <w:rFonts w:cstheme="minorHAnsi"/>
                <w:sz w:val="24"/>
                <w:szCs w:val="24"/>
              </w:rPr>
              <w:t>appointed under different legislation</w:t>
            </w:r>
            <w:r w:rsidR="00F70665" w:rsidRPr="00717B48">
              <w:rPr>
                <w:rFonts w:cstheme="minorHAnsi"/>
                <w:sz w:val="24"/>
                <w:szCs w:val="24"/>
              </w:rPr>
              <w:t xml:space="preserve"> to Lifetime Care’s governing legislation</w:t>
            </w:r>
            <w:r w:rsidR="00234075" w:rsidRPr="00717B48">
              <w:rPr>
                <w:rFonts w:cstheme="minorHAnsi"/>
                <w:sz w:val="24"/>
                <w:szCs w:val="24"/>
              </w:rPr>
              <w:t>,</w:t>
            </w:r>
            <w:r w:rsidR="00B83EA8" w:rsidRPr="00717B48">
              <w:rPr>
                <w:rFonts w:cstheme="minorHAnsi"/>
                <w:sz w:val="24"/>
                <w:szCs w:val="24"/>
              </w:rPr>
              <w:t xml:space="preserve"> and</w:t>
            </w:r>
            <w:r w:rsidR="00B3536B">
              <w:rPr>
                <w:rFonts w:cstheme="minorHAnsi"/>
                <w:sz w:val="24"/>
                <w:szCs w:val="24"/>
              </w:rPr>
              <w:t xml:space="preserve"> prescribing</w:t>
            </w:r>
            <w:r w:rsidR="00B83EA8" w:rsidRPr="00717B48">
              <w:rPr>
                <w:rFonts w:cstheme="minorHAnsi"/>
                <w:sz w:val="24"/>
                <w:szCs w:val="24"/>
              </w:rPr>
              <w:t xml:space="preserve"> the processes undertaken</w:t>
            </w:r>
            <w:r w:rsidR="00234075" w:rsidRPr="00717B48">
              <w:rPr>
                <w:rFonts w:cstheme="minorHAnsi"/>
                <w:sz w:val="24"/>
                <w:szCs w:val="24"/>
              </w:rPr>
              <w:t xml:space="preserve"> by the Principal Claims Assessor</w:t>
            </w:r>
            <w:r w:rsidRPr="00717B48">
              <w:rPr>
                <w:rFonts w:cstheme="minorHAnsi"/>
                <w:sz w:val="24"/>
                <w:szCs w:val="24"/>
              </w:rPr>
              <w:t xml:space="preserve"> </w:t>
            </w:r>
            <w:r w:rsidR="00B83EA8" w:rsidRPr="00717B48">
              <w:rPr>
                <w:rFonts w:cstheme="minorHAnsi"/>
                <w:sz w:val="24"/>
                <w:szCs w:val="24"/>
              </w:rPr>
              <w:t xml:space="preserve">to convene a panel and resolve the dispute. </w:t>
            </w:r>
          </w:p>
          <w:p w:rsidR="000735C5" w:rsidRPr="00717B48" w:rsidRDefault="000735C5" w:rsidP="008B3F90">
            <w:pPr>
              <w:spacing w:after="0" w:line="240" w:lineRule="auto"/>
              <w:rPr>
                <w:rFonts w:cstheme="minorHAnsi"/>
                <w:sz w:val="24"/>
                <w:szCs w:val="24"/>
              </w:rPr>
            </w:pPr>
          </w:p>
          <w:p w:rsidR="009C0193" w:rsidRPr="00717B48" w:rsidRDefault="000735C5" w:rsidP="008B3F90">
            <w:pPr>
              <w:spacing w:after="0" w:line="240" w:lineRule="auto"/>
              <w:rPr>
                <w:rFonts w:cstheme="minorHAnsi"/>
                <w:sz w:val="24"/>
                <w:szCs w:val="24"/>
              </w:rPr>
            </w:pPr>
            <w:r w:rsidRPr="00717B48">
              <w:rPr>
                <w:rFonts w:cstheme="minorHAnsi"/>
                <w:sz w:val="24"/>
                <w:szCs w:val="24"/>
              </w:rPr>
              <w:t xml:space="preserve">Lifetime Care proposes to </w:t>
            </w:r>
            <w:r w:rsidR="009C0193" w:rsidRPr="00717B48">
              <w:rPr>
                <w:rFonts w:cstheme="minorHAnsi"/>
                <w:sz w:val="24"/>
                <w:szCs w:val="24"/>
              </w:rPr>
              <w:t xml:space="preserve">convert the current Part 3 </w:t>
            </w:r>
            <w:r w:rsidR="00BA4418">
              <w:rPr>
                <w:rFonts w:cstheme="minorHAnsi"/>
                <w:sz w:val="24"/>
                <w:szCs w:val="24"/>
              </w:rPr>
              <w:t xml:space="preserve">guideline into a practice note </w:t>
            </w:r>
            <w:r w:rsidR="009C0193" w:rsidRPr="00717B48">
              <w:rPr>
                <w:rFonts w:cstheme="minorHAnsi"/>
                <w:sz w:val="24"/>
                <w:szCs w:val="24"/>
              </w:rPr>
              <w:t xml:space="preserve">available on </w:t>
            </w:r>
            <w:r w:rsidR="00BA4418">
              <w:rPr>
                <w:rFonts w:cstheme="minorHAnsi"/>
                <w:sz w:val="24"/>
                <w:szCs w:val="24"/>
              </w:rPr>
              <w:t>its website</w:t>
            </w:r>
            <w:r w:rsidR="009C0193" w:rsidRPr="00717B48">
              <w:rPr>
                <w:rFonts w:cstheme="minorHAnsi"/>
                <w:sz w:val="24"/>
                <w:szCs w:val="24"/>
              </w:rPr>
              <w:t>. Lifetime Care will work wit</w:t>
            </w:r>
            <w:r w:rsidR="008B5C56">
              <w:rPr>
                <w:rFonts w:cstheme="minorHAnsi"/>
                <w:sz w:val="24"/>
                <w:szCs w:val="24"/>
              </w:rPr>
              <w:t>h the Principal Claims Assessor</w:t>
            </w:r>
            <w:r w:rsidR="009C0193" w:rsidRPr="00717B48">
              <w:rPr>
                <w:rFonts w:cstheme="minorHAnsi"/>
                <w:sz w:val="24"/>
                <w:szCs w:val="24"/>
              </w:rPr>
              <w:t xml:space="preserve"> and the Dispute Resolution Services division of</w:t>
            </w:r>
            <w:r w:rsidR="00BA4418">
              <w:rPr>
                <w:rFonts w:cstheme="minorHAnsi"/>
                <w:sz w:val="24"/>
                <w:szCs w:val="24"/>
              </w:rPr>
              <w:t xml:space="preserve"> the State Insurance Regulatory Authority (</w:t>
            </w:r>
            <w:r w:rsidR="009C0193" w:rsidRPr="00717B48">
              <w:rPr>
                <w:rFonts w:cstheme="minorHAnsi"/>
                <w:sz w:val="24"/>
                <w:szCs w:val="24"/>
              </w:rPr>
              <w:t>SIRA</w:t>
            </w:r>
            <w:r w:rsidR="00BA4418">
              <w:rPr>
                <w:rFonts w:cstheme="minorHAnsi"/>
                <w:sz w:val="24"/>
                <w:szCs w:val="24"/>
              </w:rPr>
              <w:t>)</w:t>
            </w:r>
            <w:r w:rsidR="009C0193" w:rsidRPr="00717B48">
              <w:rPr>
                <w:rFonts w:cstheme="minorHAnsi"/>
                <w:sz w:val="24"/>
                <w:szCs w:val="24"/>
              </w:rPr>
              <w:t xml:space="preserve"> to finalise th</w:t>
            </w:r>
            <w:r w:rsidR="000B364D" w:rsidRPr="00717B48">
              <w:rPr>
                <w:rFonts w:cstheme="minorHAnsi"/>
                <w:sz w:val="24"/>
                <w:szCs w:val="24"/>
              </w:rPr>
              <w:t>e</w:t>
            </w:r>
            <w:r w:rsidR="009C0193" w:rsidRPr="00717B48">
              <w:rPr>
                <w:rFonts w:cstheme="minorHAnsi"/>
                <w:sz w:val="24"/>
                <w:szCs w:val="24"/>
              </w:rPr>
              <w:t xml:space="preserve"> practice note. </w:t>
            </w:r>
          </w:p>
          <w:p w:rsidR="000735C5" w:rsidRPr="00717B48" w:rsidRDefault="000735C5" w:rsidP="00B3536B">
            <w:pPr>
              <w:spacing w:after="0" w:line="240" w:lineRule="auto"/>
              <w:rPr>
                <w:rFonts w:cstheme="minorHAnsi"/>
                <w:sz w:val="24"/>
                <w:szCs w:val="24"/>
              </w:rPr>
            </w:pPr>
          </w:p>
        </w:tc>
      </w:tr>
      <w:tr w:rsidR="00BE19C9" w:rsidRPr="00717B48" w:rsidTr="00CA6043">
        <w:tc>
          <w:tcPr>
            <w:tcW w:w="3986" w:type="dxa"/>
            <w:tcBorders>
              <w:top w:val="single" w:sz="4" w:space="0" w:color="auto"/>
              <w:left w:val="single" w:sz="4" w:space="0" w:color="auto"/>
              <w:bottom w:val="single" w:sz="4" w:space="0" w:color="auto"/>
              <w:right w:val="single" w:sz="4" w:space="0" w:color="auto"/>
            </w:tcBorders>
          </w:tcPr>
          <w:p w:rsidR="00BE19C9" w:rsidRPr="00717B48" w:rsidRDefault="00BE19C9" w:rsidP="008B3F90">
            <w:pPr>
              <w:spacing w:after="0" w:line="240" w:lineRule="auto"/>
              <w:rPr>
                <w:rFonts w:cstheme="minorHAnsi"/>
                <w:sz w:val="24"/>
                <w:szCs w:val="24"/>
              </w:rPr>
            </w:pPr>
            <w:r w:rsidRPr="00717B48">
              <w:rPr>
                <w:rFonts w:cstheme="minorHAnsi"/>
                <w:sz w:val="24"/>
                <w:szCs w:val="24"/>
              </w:rPr>
              <w:t>References to time frames and calendar days</w:t>
            </w:r>
          </w:p>
          <w:p w:rsidR="00BE19C9" w:rsidRPr="00717B48" w:rsidRDefault="00BE19C9" w:rsidP="008B3F90">
            <w:pPr>
              <w:spacing w:after="0" w:line="240" w:lineRule="auto"/>
              <w:rPr>
                <w:rFonts w:cstheme="minorHAnsi"/>
                <w:sz w:val="24"/>
                <w:szCs w:val="24"/>
              </w:rPr>
            </w:pPr>
          </w:p>
        </w:tc>
        <w:tc>
          <w:tcPr>
            <w:tcW w:w="5030" w:type="dxa"/>
            <w:tcBorders>
              <w:top w:val="single" w:sz="4" w:space="0" w:color="auto"/>
              <w:left w:val="single" w:sz="4" w:space="0" w:color="auto"/>
              <w:bottom w:val="single" w:sz="4" w:space="0" w:color="auto"/>
              <w:right w:val="single" w:sz="4" w:space="0" w:color="auto"/>
            </w:tcBorders>
          </w:tcPr>
          <w:p w:rsidR="00BE19C9" w:rsidRDefault="00BE19C9" w:rsidP="001E2EF0">
            <w:pPr>
              <w:spacing w:after="0" w:line="240" w:lineRule="auto"/>
              <w:rPr>
                <w:rFonts w:cstheme="minorHAnsi"/>
                <w:sz w:val="24"/>
                <w:szCs w:val="24"/>
              </w:rPr>
            </w:pPr>
            <w:r w:rsidRPr="00717B48">
              <w:rPr>
                <w:rFonts w:cstheme="minorHAnsi"/>
                <w:sz w:val="24"/>
                <w:szCs w:val="24"/>
              </w:rPr>
              <w:t xml:space="preserve">Lifetime Care has included references to calendar days and working days where these apply, for clarity. </w:t>
            </w:r>
            <w:r w:rsidR="007F4735">
              <w:rPr>
                <w:rFonts w:cstheme="minorHAnsi"/>
                <w:sz w:val="24"/>
                <w:szCs w:val="24"/>
              </w:rPr>
              <w:t xml:space="preserve">This is also in recognition of the </w:t>
            </w:r>
            <w:r w:rsidR="007F4735">
              <w:rPr>
                <w:rFonts w:cstheme="minorHAnsi"/>
                <w:sz w:val="24"/>
                <w:szCs w:val="24"/>
              </w:rPr>
              <w:lastRenderedPageBreak/>
              <w:t>timeframe prescribed by the legislation for disputes about treatment and care needs.</w:t>
            </w:r>
            <w:r w:rsidRPr="00717B48">
              <w:rPr>
                <w:rFonts w:cstheme="minorHAnsi"/>
                <w:sz w:val="24"/>
                <w:szCs w:val="24"/>
              </w:rPr>
              <w:t xml:space="preserve"> </w:t>
            </w:r>
          </w:p>
          <w:p w:rsidR="009624EC" w:rsidRPr="00717B48" w:rsidRDefault="009624EC" w:rsidP="001E2EF0">
            <w:pPr>
              <w:spacing w:after="0" w:line="240" w:lineRule="auto"/>
              <w:rPr>
                <w:rFonts w:cstheme="minorHAnsi"/>
                <w:sz w:val="24"/>
                <w:szCs w:val="24"/>
              </w:rPr>
            </w:pPr>
          </w:p>
        </w:tc>
      </w:tr>
      <w:tr w:rsidR="00BE19C9" w:rsidRPr="00717B48" w:rsidTr="00CA6043">
        <w:tc>
          <w:tcPr>
            <w:tcW w:w="3986" w:type="dxa"/>
            <w:tcBorders>
              <w:top w:val="single" w:sz="4" w:space="0" w:color="auto"/>
              <w:left w:val="single" w:sz="4" w:space="0" w:color="auto"/>
              <w:bottom w:val="single" w:sz="4" w:space="0" w:color="auto"/>
              <w:right w:val="single" w:sz="4" w:space="0" w:color="auto"/>
            </w:tcBorders>
          </w:tcPr>
          <w:p w:rsidR="00BE19C9" w:rsidRPr="00717B48" w:rsidRDefault="00BE19C9" w:rsidP="008B3F90">
            <w:pPr>
              <w:spacing w:after="0" w:line="240" w:lineRule="auto"/>
              <w:rPr>
                <w:rFonts w:cstheme="minorHAnsi"/>
                <w:sz w:val="24"/>
                <w:szCs w:val="24"/>
              </w:rPr>
            </w:pPr>
            <w:r w:rsidRPr="00717B48">
              <w:rPr>
                <w:rFonts w:cstheme="minorHAnsi"/>
                <w:sz w:val="24"/>
                <w:szCs w:val="24"/>
              </w:rPr>
              <w:lastRenderedPageBreak/>
              <w:t>Privacy/ publication of decisions</w:t>
            </w:r>
          </w:p>
        </w:tc>
        <w:tc>
          <w:tcPr>
            <w:tcW w:w="5030" w:type="dxa"/>
            <w:tcBorders>
              <w:top w:val="single" w:sz="4" w:space="0" w:color="auto"/>
              <w:left w:val="single" w:sz="4" w:space="0" w:color="auto"/>
              <w:bottom w:val="single" w:sz="4" w:space="0" w:color="auto"/>
              <w:right w:val="single" w:sz="4" w:space="0" w:color="auto"/>
            </w:tcBorders>
          </w:tcPr>
          <w:p w:rsidR="00B47B6B" w:rsidRPr="00717B48" w:rsidRDefault="00B47B6B" w:rsidP="00B47B6B">
            <w:pPr>
              <w:pStyle w:val="Default"/>
              <w:rPr>
                <w:rFonts w:asciiTheme="minorHAnsi" w:hAnsiTheme="minorHAnsi"/>
                <w:color w:val="auto"/>
              </w:rPr>
            </w:pPr>
            <w:r w:rsidRPr="00717B48">
              <w:rPr>
                <w:rFonts w:asciiTheme="minorHAnsi" w:hAnsiTheme="minorHAnsi"/>
                <w:color w:val="auto"/>
              </w:rPr>
              <w:t>Lifetime Care has considered whether it would be in the interests of injured persons, participants and the Lifetime Care and Support Scheme to publish de-identified certificates or summaries on its website. Lifetime Care is committed to openness and transparency</w:t>
            </w:r>
            <w:r w:rsidR="00FF1088">
              <w:rPr>
                <w:rFonts w:asciiTheme="minorHAnsi" w:hAnsiTheme="minorHAnsi"/>
                <w:color w:val="auto"/>
              </w:rPr>
              <w:t>,</w:t>
            </w:r>
            <w:r w:rsidRPr="00717B48">
              <w:rPr>
                <w:rFonts w:asciiTheme="minorHAnsi" w:hAnsiTheme="minorHAnsi"/>
                <w:color w:val="auto"/>
              </w:rPr>
              <w:t xml:space="preserve"> however it is likely that participants and injured persons may inadvertently be identified</w:t>
            </w:r>
            <w:r w:rsidR="00FF1088">
              <w:rPr>
                <w:rFonts w:asciiTheme="minorHAnsi" w:hAnsiTheme="minorHAnsi"/>
                <w:color w:val="auto"/>
              </w:rPr>
              <w:t>,</w:t>
            </w:r>
            <w:r w:rsidRPr="00717B48">
              <w:rPr>
                <w:rFonts w:asciiTheme="minorHAnsi" w:hAnsiTheme="minorHAnsi"/>
                <w:color w:val="auto"/>
              </w:rPr>
              <w:t xml:space="preserve"> even after a certificate is de-identified. Accordingly, de-identified certificates will not be published on the website and Lifetime Care has not changed the current wording about publication of decisions.  </w:t>
            </w:r>
          </w:p>
          <w:p w:rsidR="00BE19C9" w:rsidRPr="00717B48" w:rsidRDefault="00BE19C9" w:rsidP="00B47B6B">
            <w:pPr>
              <w:pStyle w:val="Default"/>
              <w:rPr>
                <w:rFonts w:cstheme="minorHAnsi"/>
              </w:rPr>
            </w:pPr>
          </w:p>
        </w:tc>
      </w:tr>
      <w:tr w:rsidR="00AF5F21" w:rsidRPr="00717B48" w:rsidTr="00CA6043">
        <w:tc>
          <w:tcPr>
            <w:tcW w:w="3986" w:type="dxa"/>
            <w:tcBorders>
              <w:top w:val="single" w:sz="4" w:space="0" w:color="auto"/>
              <w:left w:val="single" w:sz="4" w:space="0" w:color="auto"/>
              <w:bottom w:val="single" w:sz="4" w:space="0" w:color="auto"/>
              <w:right w:val="single" w:sz="4" w:space="0" w:color="auto"/>
            </w:tcBorders>
          </w:tcPr>
          <w:p w:rsidR="00AF5F21" w:rsidRPr="00D437D4" w:rsidRDefault="00886556" w:rsidP="008B3F90">
            <w:pPr>
              <w:spacing w:after="0" w:line="240" w:lineRule="auto"/>
              <w:rPr>
                <w:rFonts w:cstheme="minorHAnsi"/>
                <w:color w:val="FF0000"/>
                <w:sz w:val="24"/>
                <w:szCs w:val="24"/>
              </w:rPr>
            </w:pPr>
            <w:r w:rsidRPr="00717B48">
              <w:rPr>
                <w:rFonts w:cstheme="minorHAnsi"/>
                <w:sz w:val="24"/>
                <w:szCs w:val="24"/>
              </w:rPr>
              <w:t>Reallocation of a dispute assessor or panel</w:t>
            </w:r>
          </w:p>
          <w:p w:rsidR="008B5C56" w:rsidRPr="00D437D4" w:rsidRDefault="008B5C56" w:rsidP="008B3F90">
            <w:pPr>
              <w:spacing w:after="0" w:line="240" w:lineRule="auto"/>
              <w:rPr>
                <w:rFonts w:cstheme="minorHAnsi"/>
                <w:color w:val="FF0000"/>
                <w:sz w:val="24"/>
                <w:szCs w:val="24"/>
              </w:rPr>
            </w:pPr>
          </w:p>
          <w:p w:rsidR="008B5C56" w:rsidRPr="003E1092" w:rsidRDefault="008B5C56" w:rsidP="008B3F90">
            <w:pPr>
              <w:spacing w:after="0" w:line="240" w:lineRule="auto"/>
              <w:rPr>
                <w:rFonts w:cstheme="minorHAnsi"/>
                <w:sz w:val="24"/>
                <w:szCs w:val="24"/>
              </w:rPr>
            </w:pPr>
            <w:r w:rsidRPr="003E1092">
              <w:rPr>
                <w:rFonts w:cstheme="minorHAnsi"/>
                <w:sz w:val="24"/>
                <w:szCs w:val="24"/>
              </w:rPr>
              <w:t>(Part 2, 6 and 16</w:t>
            </w:r>
            <w:r w:rsidR="00D437D4" w:rsidRPr="003E1092">
              <w:rPr>
                <w:rFonts w:cstheme="minorHAnsi"/>
                <w:sz w:val="24"/>
                <w:szCs w:val="24"/>
              </w:rPr>
              <w:t xml:space="preserve">, and </w:t>
            </w:r>
            <w:r w:rsidRPr="003E1092">
              <w:rPr>
                <w:rFonts w:cstheme="minorHAnsi"/>
                <w:sz w:val="24"/>
                <w:szCs w:val="24"/>
              </w:rPr>
              <w:t xml:space="preserve">Part 4, </w:t>
            </w:r>
            <w:r w:rsidR="00D437D4" w:rsidRPr="003E1092">
              <w:rPr>
                <w:rFonts w:cstheme="minorHAnsi"/>
                <w:sz w:val="24"/>
                <w:szCs w:val="24"/>
              </w:rPr>
              <w:t>6 and 16)</w:t>
            </w:r>
          </w:p>
          <w:p w:rsidR="008B5C56" w:rsidRPr="00717B48" w:rsidRDefault="008B5C56" w:rsidP="008B3F90">
            <w:pPr>
              <w:spacing w:after="0" w:line="240" w:lineRule="auto"/>
              <w:rPr>
                <w:rFonts w:cstheme="minorHAnsi"/>
                <w:sz w:val="24"/>
                <w:szCs w:val="24"/>
              </w:rPr>
            </w:pPr>
            <w:r>
              <w:rPr>
                <w:rFonts w:cstheme="minorHAnsi"/>
                <w:sz w:val="24"/>
                <w:szCs w:val="24"/>
              </w:rPr>
              <w:t xml:space="preserve"> </w:t>
            </w:r>
          </w:p>
          <w:p w:rsidR="00E6329D" w:rsidRPr="00717B48" w:rsidRDefault="00E6329D" w:rsidP="008B3F90">
            <w:pPr>
              <w:spacing w:after="0" w:line="240" w:lineRule="auto"/>
              <w:rPr>
                <w:rFonts w:cstheme="minorHAnsi"/>
                <w:sz w:val="24"/>
                <w:szCs w:val="24"/>
              </w:rPr>
            </w:pPr>
          </w:p>
          <w:p w:rsidR="00E6329D" w:rsidRPr="00717B48" w:rsidRDefault="00E6329D" w:rsidP="008B3F90">
            <w:pPr>
              <w:spacing w:after="0" w:line="240" w:lineRule="auto"/>
              <w:rPr>
                <w:rFonts w:cstheme="minorHAnsi"/>
                <w:sz w:val="24"/>
                <w:szCs w:val="24"/>
              </w:rPr>
            </w:pPr>
          </w:p>
        </w:tc>
        <w:tc>
          <w:tcPr>
            <w:tcW w:w="5030" w:type="dxa"/>
            <w:tcBorders>
              <w:top w:val="single" w:sz="4" w:space="0" w:color="auto"/>
              <w:left w:val="single" w:sz="4" w:space="0" w:color="auto"/>
              <w:bottom w:val="single" w:sz="4" w:space="0" w:color="auto"/>
              <w:right w:val="single" w:sz="4" w:space="0" w:color="auto"/>
            </w:tcBorders>
          </w:tcPr>
          <w:p w:rsidR="007D4859" w:rsidRDefault="00886556" w:rsidP="00D437D4">
            <w:pPr>
              <w:spacing w:after="0" w:line="240" w:lineRule="auto"/>
              <w:rPr>
                <w:rFonts w:cstheme="minorHAnsi"/>
                <w:sz w:val="24"/>
                <w:szCs w:val="24"/>
              </w:rPr>
            </w:pPr>
            <w:r w:rsidRPr="00717B48">
              <w:rPr>
                <w:rFonts w:cstheme="minorHAnsi"/>
                <w:sz w:val="24"/>
                <w:szCs w:val="24"/>
              </w:rPr>
              <w:t>Lifetime Care has made changes to the wording about reallocating a dispute to a different assessor or panel</w:t>
            </w:r>
            <w:r w:rsidR="0045753C" w:rsidRPr="00717B48">
              <w:rPr>
                <w:rFonts w:cstheme="minorHAnsi"/>
                <w:sz w:val="24"/>
                <w:szCs w:val="24"/>
              </w:rPr>
              <w:t>, after the dispute was originally allocated.  This is in the event of illness or if the assessor or panel is unable to assess the dispute in a reasonable timeframe.  This is in attempt to resolve disputes as quickly as possible</w:t>
            </w:r>
            <w:r w:rsidR="00B83EA8" w:rsidRPr="00717B48">
              <w:rPr>
                <w:rFonts w:cstheme="minorHAnsi"/>
                <w:sz w:val="24"/>
                <w:szCs w:val="24"/>
              </w:rPr>
              <w:t xml:space="preserve">. </w:t>
            </w:r>
          </w:p>
          <w:p w:rsidR="003E1092" w:rsidRPr="00717B48" w:rsidRDefault="003E1092" w:rsidP="00D437D4">
            <w:pPr>
              <w:spacing w:after="0" w:line="240" w:lineRule="auto"/>
              <w:rPr>
                <w:rFonts w:cstheme="minorHAnsi"/>
                <w:sz w:val="24"/>
                <w:szCs w:val="24"/>
              </w:rPr>
            </w:pPr>
          </w:p>
        </w:tc>
      </w:tr>
      <w:tr w:rsidR="00564323" w:rsidRPr="00717B48" w:rsidTr="00CA6043">
        <w:tc>
          <w:tcPr>
            <w:tcW w:w="3986" w:type="dxa"/>
            <w:tcBorders>
              <w:top w:val="single" w:sz="4" w:space="0" w:color="auto"/>
              <w:left w:val="single" w:sz="4" w:space="0" w:color="auto"/>
              <w:bottom w:val="single" w:sz="4" w:space="0" w:color="auto"/>
              <w:right w:val="single" w:sz="4" w:space="0" w:color="auto"/>
            </w:tcBorders>
          </w:tcPr>
          <w:p w:rsidR="00564323" w:rsidRPr="003E1092" w:rsidRDefault="007B1546" w:rsidP="008B3F90">
            <w:pPr>
              <w:spacing w:after="0" w:line="240" w:lineRule="auto"/>
              <w:rPr>
                <w:rFonts w:cstheme="minorHAnsi"/>
                <w:sz w:val="24"/>
                <w:szCs w:val="24"/>
              </w:rPr>
            </w:pPr>
            <w:r w:rsidRPr="003E1092">
              <w:rPr>
                <w:rFonts w:cstheme="minorHAnsi"/>
                <w:sz w:val="24"/>
                <w:szCs w:val="24"/>
              </w:rPr>
              <w:t xml:space="preserve">Assessment Panel or Review Panel’s initial meeting </w:t>
            </w:r>
          </w:p>
          <w:p w:rsidR="00D437D4" w:rsidRPr="003E1092" w:rsidRDefault="00D437D4" w:rsidP="008B3F90">
            <w:pPr>
              <w:spacing w:after="0" w:line="240" w:lineRule="auto"/>
              <w:rPr>
                <w:rFonts w:cstheme="minorHAnsi"/>
                <w:sz w:val="24"/>
                <w:szCs w:val="24"/>
              </w:rPr>
            </w:pPr>
            <w:r w:rsidRPr="003E1092">
              <w:rPr>
                <w:rFonts w:cstheme="minorHAnsi"/>
                <w:sz w:val="24"/>
                <w:szCs w:val="24"/>
              </w:rPr>
              <w:t>(Part 2, 7.2 and</w:t>
            </w:r>
            <w:r w:rsidR="00186D4D" w:rsidRPr="003E1092">
              <w:rPr>
                <w:rFonts w:cstheme="minorHAnsi"/>
                <w:sz w:val="24"/>
                <w:szCs w:val="24"/>
              </w:rPr>
              <w:t xml:space="preserve"> 8.5)</w:t>
            </w:r>
            <w:r w:rsidRPr="003E1092">
              <w:rPr>
                <w:rFonts w:cstheme="minorHAnsi"/>
                <w:sz w:val="24"/>
                <w:szCs w:val="24"/>
              </w:rPr>
              <w:t xml:space="preserve">  </w:t>
            </w:r>
          </w:p>
        </w:tc>
        <w:tc>
          <w:tcPr>
            <w:tcW w:w="5030" w:type="dxa"/>
            <w:tcBorders>
              <w:top w:val="single" w:sz="4" w:space="0" w:color="auto"/>
              <w:left w:val="single" w:sz="4" w:space="0" w:color="auto"/>
              <w:bottom w:val="single" w:sz="4" w:space="0" w:color="auto"/>
              <w:right w:val="single" w:sz="4" w:space="0" w:color="auto"/>
            </w:tcBorders>
          </w:tcPr>
          <w:p w:rsidR="007B1546" w:rsidRPr="003E1092" w:rsidRDefault="00564323" w:rsidP="00564323">
            <w:pPr>
              <w:spacing w:after="0" w:line="240" w:lineRule="auto"/>
              <w:rPr>
                <w:rFonts w:eastAsia="Times New Roman"/>
              </w:rPr>
            </w:pPr>
            <w:r w:rsidRPr="003E1092">
              <w:rPr>
                <w:rFonts w:eastAsia="Times New Roman"/>
              </w:rPr>
              <w:t>Lifetime Care has added a clause that an Assessment or Review Panel’s initial meeting will occur in the absence of the parties</w:t>
            </w:r>
            <w:r w:rsidR="00D437D4" w:rsidRPr="003E1092">
              <w:rPr>
                <w:rFonts w:eastAsia="Times New Roman"/>
              </w:rPr>
              <w:t xml:space="preserve"> (7.2) </w:t>
            </w:r>
            <w:r w:rsidRPr="003E1092">
              <w:rPr>
                <w:rFonts w:eastAsia="Times New Roman"/>
              </w:rPr>
              <w:t>and that they are not obliged to conduct a conference with all or any of the parties</w:t>
            </w:r>
            <w:r w:rsidR="00D437D4" w:rsidRPr="003E1092">
              <w:rPr>
                <w:rFonts w:eastAsia="Times New Roman"/>
              </w:rPr>
              <w:t xml:space="preserve"> (8.5)</w:t>
            </w:r>
            <w:r w:rsidRPr="003E1092">
              <w:rPr>
                <w:rFonts w:eastAsia="Times New Roman"/>
              </w:rPr>
              <w:t>.</w:t>
            </w:r>
            <w:r w:rsidR="007B1546" w:rsidRPr="003E1092">
              <w:rPr>
                <w:rFonts w:eastAsia="Times New Roman"/>
              </w:rPr>
              <w:t xml:space="preserve"> This reflects current practice for disputes about eligibility where Panel</w:t>
            </w:r>
            <w:r w:rsidR="008B5C56" w:rsidRPr="003E1092">
              <w:rPr>
                <w:rFonts w:eastAsia="Times New Roman"/>
              </w:rPr>
              <w:t>s usually</w:t>
            </w:r>
            <w:r w:rsidR="007B1546" w:rsidRPr="003E1092">
              <w:rPr>
                <w:rFonts w:eastAsia="Times New Roman"/>
              </w:rPr>
              <w:t xml:space="preserve"> contac</w:t>
            </w:r>
            <w:r w:rsidR="008B5C56" w:rsidRPr="003E1092">
              <w:rPr>
                <w:rFonts w:eastAsia="Times New Roman"/>
              </w:rPr>
              <w:t>t</w:t>
            </w:r>
            <w:r w:rsidR="007B1546" w:rsidRPr="003E1092">
              <w:rPr>
                <w:rFonts w:eastAsia="Times New Roman"/>
              </w:rPr>
              <w:t xml:space="preserve"> the parties to a dispute in writing</w:t>
            </w:r>
            <w:r w:rsidR="00BC5134" w:rsidRPr="003E1092">
              <w:rPr>
                <w:rFonts w:eastAsia="Times New Roman"/>
              </w:rPr>
              <w:t xml:space="preserve"> </w:t>
            </w:r>
            <w:r w:rsidR="00D437D4" w:rsidRPr="003E1092">
              <w:rPr>
                <w:rFonts w:eastAsia="Times New Roman"/>
              </w:rPr>
              <w:t xml:space="preserve">and do not </w:t>
            </w:r>
            <w:r w:rsidR="00186D4D" w:rsidRPr="003E1092">
              <w:rPr>
                <w:rFonts w:eastAsia="Times New Roman"/>
              </w:rPr>
              <w:t xml:space="preserve">need to </w:t>
            </w:r>
            <w:r w:rsidR="00D437D4" w:rsidRPr="003E1092">
              <w:rPr>
                <w:rFonts w:eastAsia="Times New Roman"/>
              </w:rPr>
              <w:t>conduct a hearing</w:t>
            </w:r>
            <w:r w:rsidR="007B1546" w:rsidRPr="003E1092">
              <w:rPr>
                <w:rFonts w:eastAsia="Times New Roman"/>
              </w:rPr>
              <w:t>.</w:t>
            </w:r>
            <w:r w:rsidRPr="003E1092">
              <w:rPr>
                <w:rFonts w:eastAsia="Times New Roman"/>
              </w:rPr>
              <w:t xml:space="preserve"> </w:t>
            </w:r>
          </w:p>
          <w:p w:rsidR="00564323" w:rsidRPr="003E1092" w:rsidRDefault="00564323" w:rsidP="008B3F90">
            <w:pPr>
              <w:spacing w:after="0" w:line="240" w:lineRule="auto"/>
              <w:rPr>
                <w:rFonts w:cstheme="minorHAnsi"/>
                <w:sz w:val="24"/>
                <w:szCs w:val="24"/>
              </w:rPr>
            </w:pPr>
            <w:r w:rsidRPr="003E1092">
              <w:rPr>
                <w:rFonts w:eastAsia="Times New Roman"/>
              </w:rPr>
              <w:t xml:space="preserve">However, all Assessment Panels and Review Panels </w:t>
            </w:r>
            <w:r w:rsidR="00811CEA" w:rsidRPr="003E1092">
              <w:rPr>
                <w:rFonts w:eastAsia="Times New Roman"/>
              </w:rPr>
              <w:t xml:space="preserve">can determine their own procedure for assessment and </w:t>
            </w:r>
            <w:r w:rsidRPr="003E1092">
              <w:rPr>
                <w:rFonts w:eastAsia="Times New Roman"/>
              </w:rPr>
              <w:t>are required to consider procedural fairness</w:t>
            </w:r>
            <w:r w:rsidR="008B5C56" w:rsidRPr="003E1092">
              <w:rPr>
                <w:rFonts w:eastAsia="Times New Roman"/>
              </w:rPr>
              <w:t xml:space="preserve">. This includes </w:t>
            </w:r>
            <w:r w:rsidR="007B1546" w:rsidRPr="003E1092">
              <w:rPr>
                <w:rFonts w:eastAsia="Times New Roman"/>
              </w:rPr>
              <w:t xml:space="preserve">situations where </w:t>
            </w:r>
            <w:r w:rsidR="00D437D4" w:rsidRPr="003E1092">
              <w:rPr>
                <w:rFonts w:eastAsia="Times New Roman"/>
              </w:rPr>
              <w:t>the Panel may decide</w:t>
            </w:r>
            <w:r w:rsidR="00BC5134" w:rsidRPr="003E1092">
              <w:rPr>
                <w:rFonts w:eastAsia="Times New Roman"/>
              </w:rPr>
              <w:t xml:space="preserve"> (for example)</w:t>
            </w:r>
            <w:r w:rsidR="00BE7CC6" w:rsidRPr="003E1092">
              <w:rPr>
                <w:rFonts w:eastAsia="Times New Roman"/>
              </w:rPr>
              <w:t xml:space="preserve"> to </w:t>
            </w:r>
            <w:r w:rsidR="008B5C56" w:rsidRPr="003E1092">
              <w:rPr>
                <w:rFonts w:eastAsia="Times New Roman"/>
              </w:rPr>
              <w:t xml:space="preserve">hold </w:t>
            </w:r>
            <w:r w:rsidR="007B1546" w:rsidRPr="003E1092">
              <w:rPr>
                <w:rFonts w:eastAsia="Times New Roman"/>
              </w:rPr>
              <w:t>a conference with any or all parties</w:t>
            </w:r>
            <w:r w:rsidR="008B5C56" w:rsidRPr="003E1092">
              <w:rPr>
                <w:rFonts w:eastAsia="Times New Roman"/>
              </w:rPr>
              <w:t xml:space="preserve"> to a disput</w:t>
            </w:r>
            <w:r w:rsidR="00811CEA" w:rsidRPr="003E1092">
              <w:rPr>
                <w:rFonts w:eastAsia="Times New Roman"/>
              </w:rPr>
              <w:t>e</w:t>
            </w:r>
            <w:r w:rsidRPr="003E1092">
              <w:rPr>
                <w:rFonts w:eastAsia="Times New Roman"/>
              </w:rPr>
              <w:t xml:space="preserve">. </w:t>
            </w:r>
          </w:p>
          <w:p w:rsidR="00564323" w:rsidRPr="003E1092" w:rsidRDefault="00564323" w:rsidP="008B3F90">
            <w:pPr>
              <w:spacing w:after="0" w:line="240" w:lineRule="auto"/>
              <w:rPr>
                <w:rFonts w:cstheme="minorHAnsi"/>
                <w:sz w:val="24"/>
                <w:szCs w:val="24"/>
              </w:rPr>
            </w:pPr>
          </w:p>
        </w:tc>
      </w:tr>
      <w:tr w:rsidR="00D72747" w:rsidRPr="00717B48" w:rsidTr="00CA6043">
        <w:tc>
          <w:tcPr>
            <w:tcW w:w="3986" w:type="dxa"/>
            <w:tcBorders>
              <w:top w:val="single" w:sz="4" w:space="0" w:color="auto"/>
              <w:left w:val="single" w:sz="4" w:space="0" w:color="auto"/>
              <w:bottom w:val="single" w:sz="4" w:space="0" w:color="auto"/>
              <w:right w:val="single" w:sz="4" w:space="0" w:color="auto"/>
            </w:tcBorders>
            <w:hideMark/>
          </w:tcPr>
          <w:p w:rsidR="00CA6043" w:rsidRPr="00717B48" w:rsidRDefault="00CA6043" w:rsidP="008B3F90">
            <w:pPr>
              <w:pStyle w:val="Default"/>
              <w:rPr>
                <w:rFonts w:asciiTheme="minorHAnsi" w:hAnsiTheme="minorHAnsi" w:cstheme="minorHAnsi"/>
                <w:color w:val="auto"/>
              </w:rPr>
            </w:pPr>
            <w:r w:rsidRPr="00717B48">
              <w:rPr>
                <w:rFonts w:asciiTheme="minorHAnsi" w:hAnsiTheme="minorHAnsi" w:cstheme="minorHAnsi"/>
                <w:color w:val="auto"/>
              </w:rPr>
              <w:t>Applications for review</w:t>
            </w:r>
            <w:r w:rsidR="00D72747" w:rsidRPr="00717B48">
              <w:rPr>
                <w:rFonts w:asciiTheme="minorHAnsi" w:hAnsiTheme="minorHAnsi" w:cstheme="minorHAnsi"/>
                <w:color w:val="auto"/>
              </w:rPr>
              <w:t>- increased powers to dismiss applications that can otherwise be resolved</w:t>
            </w:r>
          </w:p>
          <w:p w:rsidR="00D72747" w:rsidRPr="003E1092" w:rsidRDefault="00D72747" w:rsidP="008B3F90">
            <w:pPr>
              <w:pStyle w:val="Default"/>
              <w:rPr>
                <w:rFonts w:asciiTheme="minorHAnsi" w:hAnsiTheme="minorHAnsi" w:cstheme="minorHAnsi"/>
                <w:color w:val="auto"/>
              </w:rPr>
            </w:pPr>
            <w:r w:rsidRPr="003E1092">
              <w:rPr>
                <w:rFonts w:asciiTheme="minorHAnsi" w:hAnsiTheme="minorHAnsi" w:cstheme="minorHAnsi"/>
                <w:color w:val="auto"/>
              </w:rPr>
              <w:t>(Part 2</w:t>
            </w:r>
            <w:r w:rsidR="005401C7" w:rsidRPr="003E1092">
              <w:rPr>
                <w:rFonts w:asciiTheme="minorHAnsi" w:hAnsiTheme="minorHAnsi" w:cstheme="minorHAnsi"/>
                <w:color w:val="auto"/>
              </w:rPr>
              <w:t xml:space="preserve">: </w:t>
            </w:r>
            <w:r w:rsidR="00764909" w:rsidRPr="003E1092">
              <w:rPr>
                <w:rFonts w:asciiTheme="minorHAnsi" w:hAnsiTheme="minorHAnsi" w:cstheme="minorHAnsi"/>
                <w:color w:val="auto"/>
              </w:rPr>
              <w:t>1</w:t>
            </w:r>
            <w:r w:rsidR="002F059F" w:rsidRPr="003E1092">
              <w:rPr>
                <w:rFonts w:asciiTheme="minorHAnsi" w:hAnsiTheme="minorHAnsi" w:cstheme="minorHAnsi"/>
                <w:color w:val="auto"/>
              </w:rPr>
              <w:t xml:space="preserve">4 and Part </w:t>
            </w:r>
            <w:r w:rsidR="00764909" w:rsidRPr="003E1092">
              <w:rPr>
                <w:rFonts w:asciiTheme="minorHAnsi" w:hAnsiTheme="minorHAnsi" w:cstheme="minorHAnsi"/>
                <w:color w:val="auto"/>
              </w:rPr>
              <w:t>4: 14</w:t>
            </w:r>
            <w:r w:rsidR="002F059F" w:rsidRPr="003E1092">
              <w:rPr>
                <w:rFonts w:asciiTheme="minorHAnsi" w:hAnsiTheme="minorHAnsi" w:cstheme="minorHAnsi"/>
                <w:color w:val="auto"/>
              </w:rPr>
              <w:t>)</w:t>
            </w:r>
          </w:p>
          <w:p w:rsidR="00D72747" w:rsidRPr="00717B48" w:rsidRDefault="00D72747" w:rsidP="008B3F90">
            <w:pPr>
              <w:pStyle w:val="Default"/>
              <w:rPr>
                <w:rFonts w:asciiTheme="minorHAnsi" w:hAnsiTheme="minorHAnsi" w:cstheme="minorHAnsi"/>
                <w:color w:val="auto"/>
              </w:rPr>
            </w:pPr>
          </w:p>
          <w:p w:rsidR="00D72747" w:rsidRPr="00717B48" w:rsidRDefault="00D72747" w:rsidP="008B3F90">
            <w:pPr>
              <w:pStyle w:val="Default"/>
              <w:rPr>
                <w:rFonts w:asciiTheme="minorHAnsi" w:hAnsiTheme="minorHAnsi" w:cstheme="minorHAnsi"/>
                <w:color w:val="auto"/>
              </w:rPr>
            </w:pPr>
          </w:p>
        </w:tc>
        <w:tc>
          <w:tcPr>
            <w:tcW w:w="5030" w:type="dxa"/>
            <w:tcBorders>
              <w:top w:val="single" w:sz="4" w:space="0" w:color="auto"/>
              <w:left w:val="single" w:sz="4" w:space="0" w:color="auto"/>
              <w:bottom w:val="single" w:sz="4" w:space="0" w:color="auto"/>
              <w:right w:val="single" w:sz="4" w:space="0" w:color="auto"/>
            </w:tcBorders>
          </w:tcPr>
          <w:p w:rsidR="00026BC7" w:rsidRPr="00717B48" w:rsidRDefault="00CA6043" w:rsidP="008B3F90">
            <w:pPr>
              <w:pStyle w:val="Default"/>
              <w:rPr>
                <w:rFonts w:asciiTheme="minorHAnsi" w:hAnsiTheme="minorHAnsi" w:cstheme="minorHAnsi"/>
                <w:color w:val="auto"/>
              </w:rPr>
            </w:pPr>
            <w:r w:rsidRPr="00717B48">
              <w:rPr>
                <w:rFonts w:asciiTheme="minorHAnsi" w:hAnsiTheme="minorHAnsi" w:cstheme="minorHAnsi"/>
                <w:color w:val="auto"/>
              </w:rPr>
              <w:t xml:space="preserve">Lifetime Care will review the application for review to ensure that it meets the procedural requirements in the guidelines. For some reviews, this means that the matter could be resolved in a different way, such as by a new application to the Scheme. </w:t>
            </w:r>
          </w:p>
          <w:p w:rsidR="00026BC7" w:rsidRPr="00717B48" w:rsidRDefault="00026BC7" w:rsidP="008B3F90">
            <w:pPr>
              <w:pStyle w:val="Default"/>
              <w:rPr>
                <w:rFonts w:asciiTheme="minorHAnsi" w:hAnsiTheme="minorHAnsi" w:cstheme="minorHAnsi"/>
                <w:color w:val="auto"/>
              </w:rPr>
            </w:pPr>
          </w:p>
          <w:p w:rsidR="00026BC7" w:rsidRPr="00717B48" w:rsidRDefault="00CA6043" w:rsidP="008B3F90">
            <w:pPr>
              <w:pStyle w:val="Default"/>
              <w:rPr>
                <w:rFonts w:asciiTheme="minorHAnsi" w:hAnsiTheme="minorHAnsi" w:cstheme="minorHAnsi"/>
                <w:color w:val="auto"/>
              </w:rPr>
            </w:pPr>
            <w:r w:rsidRPr="00717B48">
              <w:rPr>
                <w:rFonts w:asciiTheme="minorHAnsi" w:hAnsiTheme="minorHAnsi" w:cstheme="minorHAnsi"/>
                <w:color w:val="auto"/>
              </w:rPr>
              <w:t>Th</w:t>
            </w:r>
            <w:r w:rsidR="00D72747" w:rsidRPr="00717B48">
              <w:rPr>
                <w:rFonts w:asciiTheme="minorHAnsi" w:hAnsiTheme="minorHAnsi" w:cstheme="minorHAnsi"/>
                <w:color w:val="auto"/>
              </w:rPr>
              <w:t>ese proposed changes are</w:t>
            </w:r>
            <w:r w:rsidRPr="00717B48">
              <w:rPr>
                <w:rFonts w:asciiTheme="minorHAnsi" w:hAnsiTheme="minorHAnsi" w:cstheme="minorHAnsi"/>
                <w:color w:val="auto"/>
              </w:rPr>
              <w:t xml:space="preserve"> consistent with </w:t>
            </w:r>
            <w:r w:rsidRPr="00717B48">
              <w:rPr>
                <w:rFonts w:asciiTheme="minorHAnsi" w:hAnsiTheme="minorHAnsi" w:cstheme="minorHAnsi"/>
                <w:color w:val="auto"/>
              </w:rPr>
              <w:lastRenderedPageBreak/>
              <w:t>Lifetime Care’s proposed powers to dismiss disputes</w:t>
            </w:r>
            <w:r w:rsidR="00D72747" w:rsidRPr="00717B48">
              <w:rPr>
                <w:rFonts w:asciiTheme="minorHAnsi" w:hAnsiTheme="minorHAnsi" w:cstheme="minorHAnsi"/>
                <w:color w:val="auto"/>
              </w:rPr>
              <w:t xml:space="preserve"> </w:t>
            </w:r>
            <w:r w:rsidRPr="00717B48">
              <w:rPr>
                <w:rFonts w:asciiTheme="minorHAnsi" w:hAnsiTheme="minorHAnsi" w:cstheme="minorHAnsi"/>
                <w:color w:val="auto"/>
              </w:rPr>
              <w:t>where a new application to the Scheme could be made instead</w:t>
            </w:r>
            <w:r w:rsidR="00026BC7" w:rsidRPr="00717B48">
              <w:rPr>
                <w:rFonts w:asciiTheme="minorHAnsi" w:hAnsiTheme="minorHAnsi" w:cstheme="minorHAnsi"/>
                <w:color w:val="auto"/>
              </w:rPr>
              <w:t xml:space="preserve"> in circumstances where the injured person is not currently a participant. </w:t>
            </w:r>
          </w:p>
          <w:p w:rsidR="00026BC7" w:rsidRPr="00717B48" w:rsidRDefault="00026BC7" w:rsidP="008B3F90">
            <w:pPr>
              <w:pStyle w:val="Default"/>
              <w:rPr>
                <w:rFonts w:asciiTheme="minorHAnsi" w:hAnsiTheme="minorHAnsi" w:cstheme="minorHAnsi"/>
                <w:color w:val="auto"/>
              </w:rPr>
            </w:pPr>
          </w:p>
          <w:p w:rsidR="00CA6043" w:rsidRPr="00717B48" w:rsidRDefault="00026BC7" w:rsidP="008B3F90">
            <w:pPr>
              <w:pStyle w:val="Default"/>
              <w:rPr>
                <w:rFonts w:asciiTheme="minorHAnsi" w:hAnsiTheme="minorHAnsi" w:cstheme="minorHAnsi"/>
                <w:color w:val="auto"/>
              </w:rPr>
            </w:pPr>
            <w:r w:rsidRPr="00717B48">
              <w:rPr>
                <w:rFonts w:asciiTheme="minorHAnsi" w:hAnsiTheme="minorHAnsi" w:cstheme="minorHAnsi"/>
                <w:color w:val="auto"/>
              </w:rPr>
              <w:t>In disputes about treatment and care needs,</w:t>
            </w:r>
            <w:r w:rsidR="00D72747" w:rsidRPr="00717B48">
              <w:rPr>
                <w:rFonts w:asciiTheme="minorHAnsi" w:hAnsiTheme="minorHAnsi" w:cstheme="minorHAnsi"/>
                <w:color w:val="auto"/>
              </w:rPr>
              <w:t xml:space="preserve"> Lifetime Care</w:t>
            </w:r>
            <w:r w:rsidRPr="00717B48">
              <w:rPr>
                <w:rFonts w:asciiTheme="minorHAnsi" w:hAnsiTheme="minorHAnsi" w:cstheme="minorHAnsi"/>
                <w:color w:val="auto"/>
              </w:rPr>
              <w:t xml:space="preserve"> proposes to make </w:t>
            </w:r>
            <w:r w:rsidR="00D72747" w:rsidRPr="00717B48">
              <w:rPr>
                <w:rFonts w:asciiTheme="minorHAnsi" w:hAnsiTheme="minorHAnsi" w:cstheme="minorHAnsi"/>
                <w:color w:val="auto"/>
              </w:rPr>
              <w:t>a new assessment of the participant’s needs</w:t>
            </w:r>
            <w:r w:rsidRPr="00717B48">
              <w:rPr>
                <w:rFonts w:asciiTheme="minorHAnsi" w:hAnsiTheme="minorHAnsi" w:cstheme="minorHAnsi"/>
                <w:color w:val="auto"/>
              </w:rPr>
              <w:t>, in attempt to resolve disputes informally and at an early stage or minimise the issues in dispute</w:t>
            </w:r>
            <w:r w:rsidR="009C05FB">
              <w:rPr>
                <w:rFonts w:asciiTheme="minorHAnsi" w:hAnsiTheme="minorHAnsi" w:cstheme="minorHAnsi"/>
                <w:color w:val="auto"/>
              </w:rPr>
              <w:t>. This is</w:t>
            </w:r>
            <w:r w:rsidR="00E90BA1">
              <w:rPr>
                <w:rFonts w:asciiTheme="minorHAnsi" w:hAnsiTheme="minorHAnsi" w:cstheme="minorHAnsi"/>
                <w:color w:val="auto"/>
              </w:rPr>
              <w:t xml:space="preserve"> purely</w:t>
            </w:r>
            <w:r w:rsidR="009C05FB">
              <w:rPr>
                <w:rFonts w:asciiTheme="minorHAnsi" w:hAnsiTheme="minorHAnsi" w:cstheme="minorHAnsi"/>
                <w:color w:val="auto"/>
              </w:rPr>
              <w:t xml:space="preserve"> optional for the participant and</w:t>
            </w:r>
            <w:r w:rsidRPr="00717B48">
              <w:rPr>
                <w:rFonts w:asciiTheme="minorHAnsi" w:hAnsiTheme="minorHAnsi" w:cstheme="minorHAnsi"/>
                <w:color w:val="auto"/>
              </w:rPr>
              <w:t xml:space="preserve"> </w:t>
            </w:r>
            <w:r w:rsidR="00B83EA8" w:rsidRPr="00717B48">
              <w:rPr>
                <w:rFonts w:asciiTheme="minorHAnsi" w:hAnsiTheme="minorHAnsi" w:cstheme="minorHAnsi"/>
                <w:color w:val="auto"/>
              </w:rPr>
              <w:t>will</w:t>
            </w:r>
            <w:r w:rsidRPr="00717B48">
              <w:rPr>
                <w:rFonts w:asciiTheme="minorHAnsi" w:hAnsiTheme="minorHAnsi" w:cstheme="minorHAnsi"/>
                <w:color w:val="auto"/>
              </w:rPr>
              <w:t xml:space="preserve"> not preclude a partic</w:t>
            </w:r>
            <w:r w:rsidR="009C05FB">
              <w:rPr>
                <w:rFonts w:asciiTheme="minorHAnsi" w:hAnsiTheme="minorHAnsi" w:cstheme="minorHAnsi"/>
                <w:color w:val="auto"/>
              </w:rPr>
              <w:t>i</w:t>
            </w:r>
            <w:r w:rsidRPr="00717B48">
              <w:rPr>
                <w:rFonts w:asciiTheme="minorHAnsi" w:hAnsiTheme="minorHAnsi" w:cstheme="minorHAnsi"/>
                <w:color w:val="auto"/>
              </w:rPr>
              <w:t xml:space="preserve">pant’s right to continue with a dispute.  </w:t>
            </w:r>
          </w:p>
          <w:p w:rsidR="00CA6043" w:rsidRPr="00717B48" w:rsidRDefault="00CA6043" w:rsidP="008B3F90">
            <w:pPr>
              <w:pStyle w:val="Default"/>
              <w:rPr>
                <w:rFonts w:asciiTheme="minorHAnsi" w:hAnsiTheme="minorHAnsi" w:cstheme="minorHAnsi"/>
                <w:color w:val="auto"/>
              </w:rPr>
            </w:pPr>
          </w:p>
          <w:p w:rsidR="00CA6043" w:rsidRPr="00717B48" w:rsidRDefault="00CA6043" w:rsidP="008B3F90">
            <w:pPr>
              <w:pStyle w:val="Default"/>
              <w:rPr>
                <w:rFonts w:asciiTheme="minorHAnsi" w:hAnsiTheme="minorHAnsi" w:cstheme="minorHAnsi"/>
                <w:color w:val="auto"/>
              </w:rPr>
            </w:pPr>
            <w:r w:rsidRPr="00717B48">
              <w:rPr>
                <w:rFonts w:asciiTheme="minorHAnsi" w:hAnsiTheme="minorHAnsi" w:cstheme="minorHAnsi"/>
                <w:color w:val="auto"/>
              </w:rPr>
              <w:t xml:space="preserve">If intending to dismiss a review application, Lifetime Care would seek the parties’ submissions on requiring them to take another action such as lodge another application to the Scheme.  </w:t>
            </w:r>
          </w:p>
          <w:p w:rsidR="00CA6043" w:rsidRPr="00717B48" w:rsidRDefault="00CA6043" w:rsidP="008B3F90">
            <w:pPr>
              <w:pStyle w:val="Default"/>
              <w:rPr>
                <w:rFonts w:asciiTheme="minorHAnsi" w:hAnsiTheme="minorHAnsi" w:cstheme="minorHAnsi"/>
                <w:color w:val="auto"/>
              </w:rPr>
            </w:pPr>
          </w:p>
          <w:p w:rsidR="00CA6043" w:rsidRPr="00717B48" w:rsidRDefault="00CA6043" w:rsidP="008B3F90">
            <w:pPr>
              <w:pStyle w:val="Default"/>
              <w:rPr>
                <w:rFonts w:asciiTheme="minorHAnsi" w:hAnsiTheme="minorHAnsi" w:cstheme="minorHAnsi"/>
                <w:color w:val="auto"/>
              </w:rPr>
            </w:pPr>
            <w:r w:rsidRPr="00717B48">
              <w:rPr>
                <w:rFonts w:asciiTheme="minorHAnsi" w:hAnsiTheme="minorHAnsi" w:cstheme="minorHAnsi"/>
                <w:color w:val="auto"/>
              </w:rPr>
              <w:t>This may mean that review applications referred to a Panel could be those matters which are potentially reviewable on legal grounds and cannot otherwise be resolved</w:t>
            </w:r>
            <w:r w:rsidR="00F2357B" w:rsidRPr="00717B48">
              <w:rPr>
                <w:rFonts w:asciiTheme="minorHAnsi" w:hAnsiTheme="minorHAnsi" w:cstheme="minorHAnsi"/>
                <w:color w:val="auto"/>
              </w:rPr>
              <w:t xml:space="preserve">, </w:t>
            </w:r>
            <w:r w:rsidRPr="00717B48">
              <w:rPr>
                <w:rFonts w:asciiTheme="minorHAnsi" w:hAnsiTheme="minorHAnsi" w:cstheme="minorHAnsi"/>
                <w:color w:val="auto"/>
              </w:rPr>
              <w:t>such as those not made in</w:t>
            </w:r>
            <w:r w:rsidR="00F70665" w:rsidRPr="00717B48">
              <w:rPr>
                <w:rFonts w:asciiTheme="minorHAnsi" w:hAnsiTheme="minorHAnsi" w:cstheme="minorHAnsi"/>
                <w:color w:val="auto"/>
              </w:rPr>
              <w:t xml:space="preserve"> accordance with the Guidelines</w:t>
            </w:r>
            <w:r w:rsidRPr="00717B48">
              <w:rPr>
                <w:rFonts w:asciiTheme="minorHAnsi" w:hAnsiTheme="minorHAnsi" w:cstheme="minorHAnsi"/>
                <w:color w:val="auto"/>
              </w:rPr>
              <w:t xml:space="preserve"> or that are demonstrably incorrect in a material respect. </w:t>
            </w:r>
            <w:r w:rsidR="00754D1E">
              <w:rPr>
                <w:rFonts w:asciiTheme="minorHAnsi" w:hAnsiTheme="minorHAnsi" w:cstheme="minorHAnsi"/>
                <w:color w:val="auto"/>
              </w:rPr>
              <w:t>Again, this is in attempt to resolve ongoing disputes as quickly as possible.</w:t>
            </w:r>
            <w:r w:rsidRPr="00717B48">
              <w:rPr>
                <w:rFonts w:asciiTheme="minorHAnsi" w:hAnsiTheme="minorHAnsi" w:cstheme="minorHAnsi"/>
                <w:color w:val="auto"/>
              </w:rPr>
              <w:t xml:space="preserve"> </w:t>
            </w:r>
          </w:p>
          <w:p w:rsidR="00CA6043" w:rsidRPr="00717B48" w:rsidRDefault="00CA6043" w:rsidP="008B3F90">
            <w:pPr>
              <w:spacing w:after="0" w:line="240" w:lineRule="auto"/>
              <w:rPr>
                <w:rFonts w:cstheme="minorHAnsi"/>
                <w:sz w:val="24"/>
                <w:szCs w:val="24"/>
              </w:rPr>
            </w:pPr>
          </w:p>
        </w:tc>
      </w:tr>
      <w:tr w:rsidR="00D72747" w:rsidRPr="00717B48" w:rsidTr="00CA6043">
        <w:tc>
          <w:tcPr>
            <w:tcW w:w="3986" w:type="dxa"/>
            <w:tcBorders>
              <w:top w:val="single" w:sz="4" w:space="0" w:color="auto"/>
              <w:left w:val="single" w:sz="4" w:space="0" w:color="auto"/>
              <w:bottom w:val="single" w:sz="4" w:space="0" w:color="auto"/>
              <w:right w:val="single" w:sz="4" w:space="0" w:color="auto"/>
            </w:tcBorders>
          </w:tcPr>
          <w:p w:rsidR="007D4859" w:rsidRPr="003E1092" w:rsidRDefault="0042560A" w:rsidP="00411302">
            <w:pPr>
              <w:pStyle w:val="Default"/>
              <w:rPr>
                <w:rFonts w:asciiTheme="minorHAnsi" w:hAnsiTheme="minorHAnsi" w:cstheme="minorHAnsi"/>
                <w:color w:val="auto"/>
              </w:rPr>
            </w:pPr>
            <w:r w:rsidRPr="00717B48">
              <w:rPr>
                <w:rFonts w:asciiTheme="minorHAnsi" w:hAnsiTheme="minorHAnsi" w:cstheme="minorHAnsi"/>
                <w:color w:val="auto"/>
              </w:rPr>
              <w:lastRenderedPageBreak/>
              <w:t xml:space="preserve">Determination as to whether a review application meets the grounds in the </w:t>
            </w:r>
            <w:r w:rsidRPr="003E1092">
              <w:rPr>
                <w:rFonts w:asciiTheme="minorHAnsi" w:hAnsiTheme="minorHAnsi" w:cstheme="minorHAnsi"/>
                <w:color w:val="auto"/>
              </w:rPr>
              <w:t>legislation</w:t>
            </w:r>
            <w:r w:rsidR="00D72747" w:rsidRPr="003E1092">
              <w:rPr>
                <w:rFonts w:asciiTheme="minorHAnsi" w:hAnsiTheme="minorHAnsi" w:cstheme="minorHAnsi"/>
                <w:color w:val="auto"/>
              </w:rPr>
              <w:t xml:space="preserve"> </w:t>
            </w:r>
            <w:r w:rsidR="00DC6796" w:rsidRPr="003E1092">
              <w:rPr>
                <w:rFonts w:asciiTheme="minorHAnsi" w:hAnsiTheme="minorHAnsi" w:cstheme="minorHAnsi"/>
                <w:color w:val="auto"/>
              </w:rPr>
              <w:t xml:space="preserve">– removal of “reasonable cause to suspect” </w:t>
            </w:r>
            <w:r w:rsidR="00411302" w:rsidRPr="003E1092">
              <w:rPr>
                <w:rFonts w:asciiTheme="minorHAnsi" w:hAnsiTheme="minorHAnsi" w:cstheme="minorHAnsi"/>
                <w:color w:val="auto"/>
              </w:rPr>
              <w:t>test</w:t>
            </w:r>
          </w:p>
          <w:p w:rsidR="00D42822" w:rsidRPr="00717B48" w:rsidRDefault="00A4378E" w:rsidP="00DC6796">
            <w:pPr>
              <w:pStyle w:val="Default"/>
              <w:rPr>
                <w:rFonts w:asciiTheme="minorHAnsi" w:hAnsiTheme="minorHAnsi" w:cstheme="minorHAnsi"/>
                <w:color w:val="auto"/>
              </w:rPr>
            </w:pPr>
            <w:r w:rsidRPr="003E1092">
              <w:rPr>
                <w:rFonts w:asciiTheme="minorHAnsi" w:hAnsiTheme="minorHAnsi" w:cstheme="minorHAnsi"/>
                <w:color w:val="auto"/>
              </w:rPr>
              <w:t>(Part 2: 1</w:t>
            </w:r>
            <w:r w:rsidR="00DC6796" w:rsidRPr="003E1092">
              <w:rPr>
                <w:rFonts w:asciiTheme="minorHAnsi" w:hAnsiTheme="minorHAnsi" w:cstheme="minorHAnsi"/>
                <w:color w:val="auto"/>
              </w:rPr>
              <w:t>3.9</w:t>
            </w:r>
            <w:r w:rsidRPr="003E1092">
              <w:rPr>
                <w:rFonts w:asciiTheme="minorHAnsi" w:hAnsiTheme="minorHAnsi" w:cstheme="minorHAnsi"/>
                <w:color w:val="auto"/>
              </w:rPr>
              <w:t xml:space="preserve"> and Part </w:t>
            </w:r>
            <w:r w:rsidR="00FE799B" w:rsidRPr="003E1092">
              <w:rPr>
                <w:rFonts w:asciiTheme="minorHAnsi" w:hAnsiTheme="minorHAnsi" w:cstheme="minorHAnsi"/>
                <w:color w:val="auto"/>
              </w:rPr>
              <w:t>4</w:t>
            </w:r>
            <w:r w:rsidR="00D42822" w:rsidRPr="003E1092">
              <w:rPr>
                <w:rFonts w:asciiTheme="minorHAnsi" w:hAnsiTheme="minorHAnsi" w:cstheme="minorHAnsi"/>
                <w:color w:val="auto"/>
              </w:rPr>
              <w:t xml:space="preserve">: </w:t>
            </w:r>
            <w:r w:rsidR="00DC6796" w:rsidRPr="003E1092">
              <w:rPr>
                <w:rFonts w:asciiTheme="minorHAnsi" w:hAnsiTheme="minorHAnsi" w:cstheme="minorHAnsi"/>
                <w:color w:val="auto"/>
              </w:rPr>
              <w:t>13.12</w:t>
            </w:r>
            <w:r w:rsidR="00D42822" w:rsidRPr="003E1092">
              <w:rPr>
                <w:rFonts w:asciiTheme="minorHAnsi" w:hAnsiTheme="minorHAnsi" w:cstheme="minorHAnsi"/>
                <w:color w:val="auto"/>
              </w:rPr>
              <w:t>)</w:t>
            </w:r>
          </w:p>
        </w:tc>
        <w:tc>
          <w:tcPr>
            <w:tcW w:w="5030" w:type="dxa"/>
            <w:tcBorders>
              <w:top w:val="single" w:sz="4" w:space="0" w:color="auto"/>
              <w:left w:val="single" w:sz="4" w:space="0" w:color="auto"/>
              <w:bottom w:val="single" w:sz="4" w:space="0" w:color="auto"/>
              <w:right w:val="single" w:sz="4" w:space="0" w:color="auto"/>
            </w:tcBorders>
          </w:tcPr>
          <w:p w:rsidR="0042560A" w:rsidRPr="00717B48" w:rsidRDefault="0042560A" w:rsidP="008B3F90">
            <w:pPr>
              <w:spacing w:after="0" w:line="240" w:lineRule="auto"/>
              <w:rPr>
                <w:rFonts w:cstheme="minorHAnsi"/>
                <w:sz w:val="24"/>
                <w:szCs w:val="24"/>
              </w:rPr>
            </w:pPr>
            <w:r w:rsidRPr="00717B48">
              <w:rPr>
                <w:rFonts w:cstheme="minorHAnsi"/>
                <w:sz w:val="24"/>
                <w:szCs w:val="24"/>
              </w:rPr>
              <w:t>Lifetime Care proposes to remove the current requirement for a determination as to whether there is “reasonable cause to suspect” that a review application meets the grounds in the legislation.</w:t>
            </w:r>
            <w:r w:rsidR="00DC6796">
              <w:rPr>
                <w:rFonts w:cstheme="minorHAnsi"/>
                <w:sz w:val="24"/>
                <w:szCs w:val="24"/>
              </w:rPr>
              <w:t xml:space="preserve"> </w:t>
            </w:r>
            <w:r w:rsidRPr="00717B48">
              <w:rPr>
                <w:rFonts w:cstheme="minorHAnsi"/>
                <w:sz w:val="24"/>
                <w:szCs w:val="24"/>
              </w:rPr>
              <w:t xml:space="preserve">In practice, this will mean that review applications that comply with the procedures in the Guidelines are referred to a Review Panel. It will be the role of the Panel to determine whether the grounds for review are met, and to confirm or revoke the previous determination. </w:t>
            </w:r>
            <w:r w:rsidR="00D42822" w:rsidRPr="00717B48">
              <w:rPr>
                <w:rFonts w:cstheme="minorHAnsi"/>
                <w:sz w:val="24"/>
                <w:szCs w:val="24"/>
              </w:rPr>
              <w:t>If the grounds for review are not met, the Panel must confirm the previous determination.</w:t>
            </w:r>
          </w:p>
          <w:p w:rsidR="0042560A" w:rsidRPr="00717B48" w:rsidRDefault="0042560A" w:rsidP="008B3F90">
            <w:pPr>
              <w:spacing w:after="0" w:line="240" w:lineRule="auto"/>
              <w:rPr>
                <w:rFonts w:cstheme="minorHAnsi"/>
                <w:sz w:val="24"/>
                <w:szCs w:val="24"/>
              </w:rPr>
            </w:pPr>
            <w:r w:rsidRPr="00717B48">
              <w:rPr>
                <w:rFonts w:cstheme="minorHAnsi"/>
                <w:sz w:val="24"/>
                <w:szCs w:val="24"/>
              </w:rPr>
              <w:t>Review applications that are procedurally non-compliant with the Guidelines will not be referred to a panel.</w:t>
            </w:r>
          </w:p>
          <w:p w:rsidR="00F70665" w:rsidRPr="00717B48" w:rsidRDefault="00F70665" w:rsidP="008B3F90">
            <w:pPr>
              <w:spacing w:after="0" w:line="240" w:lineRule="auto"/>
              <w:rPr>
                <w:rFonts w:cstheme="minorHAnsi"/>
                <w:sz w:val="24"/>
                <w:szCs w:val="24"/>
              </w:rPr>
            </w:pPr>
          </w:p>
        </w:tc>
      </w:tr>
      <w:tr w:rsidR="00D72747" w:rsidRPr="00717B48" w:rsidTr="00CA6043">
        <w:tc>
          <w:tcPr>
            <w:tcW w:w="3986" w:type="dxa"/>
            <w:tcBorders>
              <w:top w:val="single" w:sz="4" w:space="0" w:color="auto"/>
              <w:left w:val="single" w:sz="4" w:space="0" w:color="auto"/>
              <w:bottom w:val="single" w:sz="4" w:space="0" w:color="auto"/>
              <w:right w:val="single" w:sz="4" w:space="0" w:color="auto"/>
            </w:tcBorders>
          </w:tcPr>
          <w:p w:rsidR="00003627" w:rsidRPr="00717B48" w:rsidRDefault="0036340A" w:rsidP="008B3F90">
            <w:pPr>
              <w:pStyle w:val="Default"/>
              <w:rPr>
                <w:rFonts w:asciiTheme="minorHAnsi" w:hAnsiTheme="minorHAnsi" w:cstheme="minorHAnsi"/>
                <w:color w:val="auto"/>
              </w:rPr>
            </w:pPr>
            <w:r w:rsidRPr="00717B48">
              <w:rPr>
                <w:rFonts w:asciiTheme="minorHAnsi" w:hAnsiTheme="minorHAnsi" w:cstheme="minorHAnsi"/>
                <w:color w:val="auto"/>
              </w:rPr>
              <w:t xml:space="preserve">Factors considered in convening a Review Panel </w:t>
            </w:r>
          </w:p>
          <w:p w:rsidR="0036340A" w:rsidRPr="00717B48" w:rsidRDefault="000032EB" w:rsidP="008B3F90">
            <w:pPr>
              <w:pStyle w:val="Default"/>
              <w:rPr>
                <w:rFonts w:asciiTheme="minorHAnsi" w:hAnsiTheme="minorHAnsi" w:cstheme="minorHAnsi"/>
                <w:color w:val="auto"/>
              </w:rPr>
            </w:pPr>
            <w:r w:rsidRPr="003E1092">
              <w:rPr>
                <w:rFonts w:asciiTheme="minorHAnsi" w:hAnsiTheme="minorHAnsi" w:cstheme="minorHAnsi"/>
                <w:color w:val="auto"/>
              </w:rPr>
              <w:lastRenderedPageBreak/>
              <w:t>(Part 2: 15</w:t>
            </w:r>
            <w:r w:rsidR="0036340A" w:rsidRPr="003E1092">
              <w:rPr>
                <w:rFonts w:asciiTheme="minorHAnsi" w:hAnsiTheme="minorHAnsi" w:cstheme="minorHAnsi"/>
                <w:color w:val="auto"/>
              </w:rPr>
              <w:t xml:space="preserve">.2 and Part </w:t>
            </w:r>
            <w:r w:rsidR="00FE799B" w:rsidRPr="003E1092">
              <w:rPr>
                <w:rFonts w:asciiTheme="minorHAnsi" w:hAnsiTheme="minorHAnsi" w:cstheme="minorHAnsi"/>
                <w:color w:val="auto"/>
              </w:rPr>
              <w:t>4</w:t>
            </w:r>
            <w:r w:rsidRPr="003E1092">
              <w:rPr>
                <w:rFonts w:asciiTheme="minorHAnsi" w:hAnsiTheme="minorHAnsi" w:cstheme="minorHAnsi"/>
                <w:color w:val="auto"/>
              </w:rPr>
              <w:t>: 15</w:t>
            </w:r>
            <w:r w:rsidR="0036340A" w:rsidRPr="003E1092">
              <w:rPr>
                <w:rFonts w:asciiTheme="minorHAnsi" w:hAnsiTheme="minorHAnsi" w:cstheme="minorHAnsi"/>
                <w:color w:val="auto"/>
              </w:rPr>
              <w:t xml:space="preserve">.2) </w:t>
            </w:r>
          </w:p>
        </w:tc>
        <w:tc>
          <w:tcPr>
            <w:tcW w:w="5030" w:type="dxa"/>
            <w:tcBorders>
              <w:top w:val="single" w:sz="4" w:space="0" w:color="auto"/>
              <w:left w:val="single" w:sz="4" w:space="0" w:color="auto"/>
              <w:bottom w:val="single" w:sz="4" w:space="0" w:color="auto"/>
              <w:right w:val="single" w:sz="4" w:space="0" w:color="auto"/>
            </w:tcBorders>
          </w:tcPr>
          <w:p w:rsidR="00026BC7" w:rsidRPr="00717B48" w:rsidRDefault="0036340A" w:rsidP="008B3F90">
            <w:pPr>
              <w:spacing w:after="0" w:line="240" w:lineRule="auto"/>
              <w:rPr>
                <w:rFonts w:cstheme="minorHAnsi"/>
                <w:sz w:val="24"/>
                <w:szCs w:val="24"/>
              </w:rPr>
            </w:pPr>
            <w:r w:rsidRPr="00717B48">
              <w:rPr>
                <w:rFonts w:cstheme="minorHAnsi"/>
                <w:sz w:val="24"/>
                <w:szCs w:val="24"/>
              </w:rPr>
              <w:lastRenderedPageBreak/>
              <w:t xml:space="preserve">Lifetime Care proposes to add that it will consider which grounds for review are the </w:t>
            </w:r>
            <w:r w:rsidRPr="00717B48">
              <w:rPr>
                <w:rFonts w:cstheme="minorHAnsi"/>
                <w:sz w:val="24"/>
                <w:szCs w:val="24"/>
              </w:rPr>
              <w:lastRenderedPageBreak/>
              <w:t>subject of the review application</w:t>
            </w:r>
            <w:r w:rsidR="00282680" w:rsidRPr="00717B48">
              <w:rPr>
                <w:rFonts w:cstheme="minorHAnsi"/>
                <w:sz w:val="24"/>
                <w:szCs w:val="24"/>
              </w:rPr>
              <w:t xml:space="preserve"> when convening a panel. This is, for example, so that highly experienced dispute assessors can be selected for complex disputes.</w:t>
            </w:r>
            <w:r w:rsidRPr="00717B48">
              <w:rPr>
                <w:rFonts w:cstheme="minorHAnsi"/>
                <w:sz w:val="24"/>
                <w:szCs w:val="24"/>
              </w:rPr>
              <w:t xml:space="preserve">  </w:t>
            </w:r>
          </w:p>
          <w:p w:rsidR="00F70665" w:rsidRPr="00717B48" w:rsidRDefault="00F70665" w:rsidP="008B3F90">
            <w:pPr>
              <w:spacing w:after="0" w:line="240" w:lineRule="auto"/>
              <w:rPr>
                <w:rFonts w:cstheme="minorHAnsi"/>
                <w:sz w:val="24"/>
                <w:szCs w:val="24"/>
              </w:rPr>
            </w:pPr>
          </w:p>
        </w:tc>
      </w:tr>
      <w:tr w:rsidR="00026BC7" w:rsidRPr="00717B48" w:rsidTr="00CA6043">
        <w:tc>
          <w:tcPr>
            <w:tcW w:w="3986" w:type="dxa"/>
            <w:tcBorders>
              <w:top w:val="single" w:sz="4" w:space="0" w:color="auto"/>
              <w:left w:val="single" w:sz="4" w:space="0" w:color="auto"/>
              <w:bottom w:val="single" w:sz="4" w:space="0" w:color="auto"/>
              <w:right w:val="single" w:sz="4" w:space="0" w:color="auto"/>
            </w:tcBorders>
          </w:tcPr>
          <w:p w:rsidR="00026BC7" w:rsidRPr="003E1092" w:rsidRDefault="00026BC7" w:rsidP="008B3F90">
            <w:pPr>
              <w:pStyle w:val="Default"/>
              <w:rPr>
                <w:rFonts w:asciiTheme="minorHAnsi" w:hAnsiTheme="minorHAnsi" w:cstheme="minorHAnsi"/>
                <w:color w:val="auto"/>
              </w:rPr>
            </w:pPr>
            <w:r w:rsidRPr="003E1092">
              <w:rPr>
                <w:rFonts w:asciiTheme="minorHAnsi" w:hAnsiTheme="minorHAnsi" w:cstheme="minorHAnsi"/>
                <w:color w:val="auto"/>
              </w:rPr>
              <w:lastRenderedPageBreak/>
              <w:t>Review applications lodged by Lifetime Care</w:t>
            </w:r>
          </w:p>
          <w:p w:rsidR="00003627" w:rsidRPr="003E1092" w:rsidRDefault="00FE799B" w:rsidP="008B3F90">
            <w:pPr>
              <w:pStyle w:val="Default"/>
              <w:rPr>
                <w:rFonts w:asciiTheme="minorHAnsi" w:hAnsiTheme="minorHAnsi" w:cstheme="minorHAnsi"/>
                <w:color w:val="auto"/>
              </w:rPr>
            </w:pPr>
            <w:r w:rsidRPr="003E1092">
              <w:rPr>
                <w:rFonts w:asciiTheme="minorHAnsi" w:hAnsiTheme="minorHAnsi" w:cstheme="minorHAnsi"/>
                <w:color w:val="auto"/>
              </w:rPr>
              <w:t>(Part 2: 13 and Part 4</w:t>
            </w:r>
            <w:r w:rsidR="00003627" w:rsidRPr="003E1092">
              <w:rPr>
                <w:rFonts w:asciiTheme="minorHAnsi" w:hAnsiTheme="minorHAnsi" w:cstheme="minorHAnsi"/>
                <w:color w:val="auto"/>
              </w:rPr>
              <w:t xml:space="preserve">: 15) </w:t>
            </w:r>
          </w:p>
          <w:p w:rsidR="00003627" w:rsidRPr="003E1092" w:rsidRDefault="00003627" w:rsidP="008B3F90">
            <w:pPr>
              <w:pStyle w:val="Default"/>
              <w:rPr>
                <w:rFonts w:asciiTheme="minorHAnsi" w:hAnsiTheme="minorHAnsi" w:cstheme="minorHAnsi"/>
                <w:color w:val="auto"/>
              </w:rPr>
            </w:pPr>
          </w:p>
        </w:tc>
        <w:tc>
          <w:tcPr>
            <w:tcW w:w="5030" w:type="dxa"/>
            <w:tcBorders>
              <w:top w:val="single" w:sz="4" w:space="0" w:color="auto"/>
              <w:left w:val="single" w:sz="4" w:space="0" w:color="auto"/>
              <w:bottom w:val="single" w:sz="4" w:space="0" w:color="auto"/>
              <w:right w:val="single" w:sz="4" w:space="0" w:color="auto"/>
            </w:tcBorders>
          </w:tcPr>
          <w:p w:rsidR="00FE799B" w:rsidRDefault="00026BC7" w:rsidP="001E2EF0">
            <w:pPr>
              <w:spacing w:after="0" w:line="240" w:lineRule="auto"/>
              <w:rPr>
                <w:rFonts w:cstheme="minorHAnsi"/>
                <w:sz w:val="24"/>
                <w:szCs w:val="24"/>
              </w:rPr>
            </w:pPr>
            <w:r w:rsidRPr="00717B48">
              <w:rPr>
                <w:rFonts w:cstheme="minorHAnsi"/>
                <w:sz w:val="24"/>
                <w:szCs w:val="24"/>
              </w:rPr>
              <w:t>Lifetime Care has</w:t>
            </w:r>
            <w:r w:rsidR="0045753C" w:rsidRPr="00717B48">
              <w:rPr>
                <w:rFonts w:cstheme="minorHAnsi"/>
                <w:sz w:val="24"/>
                <w:szCs w:val="24"/>
              </w:rPr>
              <w:t xml:space="preserve"> included some draft provisions to address the process for when Lifetime Care applies for a review. This has never occurred in the history of the Scheme</w:t>
            </w:r>
            <w:r w:rsidR="00361E72">
              <w:rPr>
                <w:rFonts w:cstheme="minorHAnsi"/>
                <w:sz w:val="24"/>
                <w:szCs w:val="24"/>
              </w:rPr>
              <w:t>,</w:t>
            </w:r>
            <w:r w:rsidR="0045753C" w:rsidRPr="00717B48">
              <w:rPr>
                <w:rFonts w:cstheme="minorHAnsi"/>
                <w:sz w:val="24"/>
                <w:szCs w:val="24"/>
              </w:rPr>
              <w:t xml:space="preserve"> but is permitted by the legislation. </w:t>
            </w:r>
            <w:r w:rsidR="00E76F92" w:rsidRPr="00717B48">
              <w:rPr>
                <w:rFonts w:cstheme="minorHAnsi"/>
                <w:sz w:val="24"/>
                <w:szCs w:val="24"/>
              </w:rPr>
              <w:t>In the interests of transparency, t</w:t>
            </w:r>
            <w:r w:rsidR="0045753C" w:rsidRPr="00717B48">
              <w:rPr>
                <w:rFonts w:cstheme="minorHAnsi"/>
                <w:sz w:val="24"/>
                <w:szCs w:val="24"/>
              </w:rPr>
              <w:t>he</w:t>
            </w:r>
            <w:r w:rsidR="00003627" w:rsidRPr="00717B48">
              <w:rPr>
                <w:rFonts w:cstheme="minorHAnsi"/>
                <w:sz w:val="24"/>
                <w:szCs w:val="24"/>
              </w:rPr>
              <w:t>se</w:t>
            </w:r>
            <w:r w:rsidR="0045753C" w:rsidRPr="00717B48">
              <w:rPr>
                <w:rFonts w:cstheme="minorHAnsi"/>
                <w:sz w:val="24"/>
                <w:szCs w:val="24"/>
              </w:rPr>
              <w:t xml:space="preserve"> draft provisions include </w:t>
            </w:r>
            <w:r w:rsidR="00003627" w:rsidRPr="00717B48">
              <w:rPr>
                <w:rFonts w:cstheme="minorHAnsi"/>
                <w:sz w:val="24"/>
                <w:szCs w:val="24"/>
              </w:rPr>
              <w:t xml:space="preserve">when Lifetime Care is </w:t>
            </w:r>
            <w:r w:rsidR="003C56A5" w:rsidRPr="003E1092">
              <w:rPr>
                <w:rFonts w:cstheme="minorHAnsi"/>
                <w:sz w:val="24"/>
                <w:szCs w:val="24"/>
              </w:rPr>
              <w:t>obligated to apply for a review,</w:t>
            </w:r>
            <w:r w:rsidR="00003627" w:rsidRPr="003E1092">
              <w:rPr>
                <w:rFonts w:cstheme="minorHAnsi"/>
                <w:sz w:val="24"/>
                <w:szCs w:val="24"/>
              </w:rPr>
              <w:t xml:space="preserve"> </w:t>
            </w:r>
            <w:r w:rsidR="00E76F92" w:rsidRPr="003E1092">
              <w:rPr>
                <w:rFonts w:cstheme="minorHAnsi"/>
                <w:sz w:val="24"/>
                <w:szCs w:val="24"/>
              </w:rPr>
              <w:t>includ</w:t>
            </w:r>
            <w:r w:rsidR="003C56A5" w:rsidRPr="003E1092">
              <w:rPr>
                <w:rFonts w:cstheme="minorHAnsi"/>
                <w:sz w:val="24"/>
                <w:szCs w:val="24"/>
              </w:rPr>
              <w:t>ing</w:t>
            </w:r>
            <w:r w:rsidR="00E76F92" w:rsidRPr="003E1092">
              <w:rPr>
                <w:rFonts w:cstheme="minorHAnsi"/>
                <w:sz w:val="24"/>
                <w:szCs w:val="24"/>
              </w:rPr>
              <w:t xml:space="preserve"> </w:t>
            </w:r>
            <w:r w:rsidR="0045753C" w:rsidRPr="003E1092">
              <w:rPr>
                <w:rFonts w:cstheme="minorHAnsi"/>
                <w:sz w:val="24"/>
                <w:szCs w:val="24"/>
              </w:rPr>
              <w:t>an obligation to advise the other parties in writing prior to the submission of any application for review</w:t>
            </w:r>
            <w:r w:rsidR="003C56A5" w:rsidRPr="003E1092">
              <w:rPr>
                <w:rFonts w:cstheme="minorHAnsi"/>
                <w:sz w:val="24"/>
                <w:szCs w:val="24"/>
              </w:rPr>
              <w:t>. Lifetime Care has also included</w:t>
            </w:r>
            <w:r w:rsidR="0045753C" w:rsidRPr="003E1092">
              <w:rPr>
                <w:rFonts w:cstheme="minorHAnsi"/>
                <w:sz w:val="24"/>
                <w:szCs w:val="24"/>
              </w:rPr>
              <w:t xml:space="preserve"> provisions that enable the </w:t>
            </w:r>
            <w:r w:rsidR="003E1092" w:rsidRPr="003E1092">
              <w:rPr>
                <w:rFonts w:cstheme="minorHAnsi"/>
                <w:sz w:val="24"/>
                <w:szCs w:val="24"/>
              </w:rPr>
              <w:t xml:space="preserve">other </w:t>
            </w:r>
            <w:r w:rsidR="0045753C" w:rsidRPr="003E1092">
              <w:rPr>
                <w:rFonts w:cstheme="minorHAnsi"/>
                <w:sz w:val="24"/>
                <w:szCs w:val="24"/>
              </w:rPr>
              <w:t>parties to the dispute to select dispute assessors for the review pa</w:t>
            </w:r>
            <w:r w:rsidR="00D91978" w:rsidRPr="003E1092">
              <w:rPr>
                <w:rFonts w:cstheme="minorHAnsi"/>
                <w:sz w:val="24"/>
                <w:szCs w:val="24"/>
              </w:rPr>
              <w:t>nel</w:t>
            </w:r>
            <w:r w:rsidR="003C56A5" w:rsidRPr="003E1092">
              <w:rPr>
                <w:rFonts w:cstheme="minorHAnsi"/>
                <w:sz w:val="24"/>
                <w:szCs w:val="24"/>
              </w:rPr>
              <w:t xml:space="preserve"> when it has lodged the review application</w:t>
            </w:r>
            <w:r w:rsidR="0045753C" w:rsidRPr="003E1092">
              <w:rPr>
                <w:rFonts w:cstheme="minorHAnsi"/>
                <w:sz w:val="24"/>
                <w:szCs w:val="24"/>
              </w:rPr>
              <w:t xml:space="preserve">.  </w:t>
            </w:r>
          </w:p>
          <w:p w:rsidR="00564323" w:rsidRPr="00717B48" w:rsidRDefault="00564323" w:rsidP="001E2EF0">
            <w:pPr>
              <w:spacing w:after="0" w:line="240" w:lineRule="auto"/>
              <w:rPr>
                <w:rFonts w:cstheme="minorHAnsi"/>
                <w:sz w:val="24"/>
                <w:szCs w:val="24"/>
              </w:rPr>
            </w:pPr>
          </w:p>
        </w:tc>
      </w:tr>
      <w:tr w:rsidR="00FE799B" w:rsidRPr="00717B48" w:rsidTr="00CA6043">
        <w:tc>
          <w:tcPr>
            <w:tcW w:w="3986" w:type="dxa"/>
            <w:tcBorders>
              <w:top w:val="single" w:sz="4" w:space="0" w:color="auto"/>
              <w:left w:val="single" w:sz="4" w:space="0" w:color="auto"/>
              <w:bottom w:val="single" w:sz="4" w:space="0" w:color="auto"/>
              <w:right w:val="single" w:sz="4" w:space="0" w:color="auto"/>
            </w:tcBorders>
          </w:tcPr>
          <w:p w:rsidR="00FE799B" w:rsidRPr="003E1092" w:rsidRDefault="00FE799B" w:rsidP="008B3F90">
            <w:pPr>
              <w:pStyle w:val="Default"/>
              <w:rPr>
                <w:rFonts w:asciiTheme="minorHAnsi" w:hAnsiTheme="minorHAnsi" w:cstheme="minorHAnsi"/>
                <w:color w:val="auto"/>
              </w:rPr>
            </w:pPr>
            <w:r w:rsidRPr="003E1092">
              <w:rPr>
                <w:rFonts w:asciiTheme="minorHAnsi" w:hAnsiTheme="minorHAnsi" w:cstheme="minorHAnsi"/>
                <w:color w:val="auto"/>
              </w:rPr>
              <w:t>Submissions by Lifetime Care in review applications made by other parties to a dispute</w:t>
            </w:r>
          </w:p>
          <w:p w:rsidR="00FE799B" w:rsidRPr="003E1092" w:rsidRDefault="00FE799B" w:rsidP="008B3F90">
            <w:pPr>
              <w:pStyle w:val="Default"/>
              <w:rPr>
                <w:rFonts w:asciiTheme="minorHAnsi" w:hAnsiTheme="minorHAnsi" w:cstheme="minorHAnsi"/>
                <w:color w:val="auto"/>
              </w:rPr>
            </w:pPr>
            <w:r w:rsidRPr="003E1092">
              <w:rPr>
                <w:rFonts w:asciiTheme="minorHAnsi" w:hAnsiTheme="minorHAnsi" w:cstheme="minorHAnsi"/>
                <w:color w:val="auto"/>
              </w:rPr>
              <w:t>(Part 2:</w:t>
            </w:r>
            <w:r w:rsidR="004179B6" w:rsidRPr="003E1092">
              <w:rPr>
                <w:rFonts w:asciiTheme="minorHAnsi" w:hAnsiTheme="minorHAnsi" w:cstheme="minorHAnsi"/>
                <w:color w:val="auto"/>
              </w:rPr>
              <w:t xml:space="preserve"> 13.7</w:t>
            </w:r>
            <w:r w:rsidRPr="003E1092">
              <w:rPr>
                <w:rFonts w:asciiTheme="minorHAnsi" w:hAnsiTheme="minorHAnsi" w:cstheme="minorHAnsi"/>
                <w:color w:val="auto"/>
              </w:rPr>
              <w:t xml:space="preserve"> and Part 4</w:t>
            </w:r>
            <w:r w:rsidR="004179B6" w:rsidRPr="003E1092">
              <w:rPr>
                <w:rFonts w:asciiTheme="minorHAnsi" w:hAnsiTheme="minorHAnsi" w:cstheme="minorHAnsi"/>
                <w:color w:val="auto"/>
              </w:rPr>
              <w:t>: 13.10)</w:t>
            </w:r>
            <w:r w:rsidRPr="003E1092">
              <w:rPr>
                <w:rFonts w:asciiTheme="minorHAnsi" w:hAnsiTheme="minorHAnsi" w:cstheme="minorHAnsi"/>
                <w:color w:val="auto"/>
              </w:rPr>
              <w:t xml:space="preserve"> </w:t>
            </w:r>
          </w:p>
          <w:p w:rsidR="00FE799B" w:rsidRPr="003E1092" w:rsidRDefault="00FE799B" w:rsidP="008B3F90">
            <w:pPr>
              <w:pStyle w:val="Default"/>
              <w:rPr>
                <w:rFonts w:asciiTheme="minorHAnsi" w:hAnsiTheme="minorHAnsi" w:cstheme="minorHAnsi"/>
                <w:color w:val="auto"/>
              </w:rPr>
            </w:pPr>
          </w:p>
        </w:tc>
        <w:tc>
          <w:tcPr>
            <w:tcW w:w="5030" w:type="dxa"/>
            <w:tcBorders>
              <w:top w:val="single" w:sz="4" w:space="0" w:color="auto"/>
              <w:left w:val="single" w:sz="4" w:space="0" w:color="auto"/>
              <w:bottom w:val="single" w:sz="4" w:space="0" w:color="auto"/>
              <w:right w:val="single" w:sz="4" w:space="0" w:color="auto"/>
            </w:tcBorders>
          </w:tcPr>
          <w:p w:rsidR="00FE799B" w:rsidRPr="003E1092" w:rsidRDefault="00FE799B" w:rsidP="001E2EF0">
            <w:pPr>
              <w:spacing w:after="0" w:line="240" w:lineRule="auto"/>
              <w:rPr>
                <w:rFonts w:cstheme="minorHAnsi"/>
                <w:sz w:val="24"/>
                <w:szCs w:val="24"/>
              </w:rPr>
            </w:pPr>
            <w:r w:rsidRPr="003E1092">
              <w:rPr>
                <w:rFonts w:cstheme="minorHAnsi"/>
                <w:sz w:val="24"/>
                <w:szCs w:val="24"/>
              </w:rPr>
              <w:t xml:space="preserve">Lifetime Care has included a clause that obligates it to provide </w:t>
            </w:r>
            <w:r w:rsidRPr="003E1092">
              <w:rPr>
                <w:rFonts w:ascii="Calibri" w:eastAsia="Times New Roman" w:hAnsi="Calibri" w:cs="Calibri"/>
                <w:lang w:eastAsia="en-AU"/>
              </w:rPr>
              <w:t>submissions if it concurs with any of the applicant’s stated grounds for review.</w:t>
            </w:r>
          </w:p>
        </w:tc>
      </w:tr>
      <w:tr w:rsidR="003E1092" w:rsidRPr="00717B48" w:rsidTr="00CA6043">
        <w:tc>
          <w:tcPr>
            <w:tcW w:w="3986" w:type="dxa"/>
            <w:tcBorders>
              <w:top w:val="single" w:sz="4" w:space="0" w:color="auto"/>
              <w:left w:val="single" w:sz="4" w:space="0" w:color="auto"/>
              <w:bottom w:val="single" w:sz="4" w:space="0" w:color="auto"/>
              <w:right w:val="single" w:sz="4" w:space="0" w:color="auto"/>
            </w:tcBorders>
          </w:tcPr>
          <w:p w:rsidR="003E1092" w:rsidRDefault="003E1092" w:rsidP="008B3F90">
            <w:pPr>
              <w:pStyle w:val="Default"/>
              <w:rPr>
                <w:rFonts w:asciiTheme="minorHAnsi" w:hAnsiTheme="minorHAnsi" w:cstheme="minorHAnsi"/>
                <w:color w:val="auto"/>
              </w:rPr>
            </w:pPr>
            <w:r>
              <w:rPr>
                <w:rFonts w:asciiTheme="minorHAnsi" w:hAnsiTheme="minorHAnsi" w:cstheme="minorHAnsi"/>
                <w:color w:val="auto"/>
              </w:rPr>
              <w:t>Provision of administrative support to the Assessment or Review Panel</w:t>
            </w:r>
          </w:p>
          <w:p w:rsidR="001202BD" w:rsidRPr="003E1092" w:rsidRDefault="001202BD" w:rsidP="008B3F90">
            <w:pPr>
              <w:pStyle w:val="Default"/>
              <w:rPr>
                <w:rFonts w:asciiTheme="minorHAnsi" w:hAnsiTheme="minorHAnsi" w:cstheme="minorHAnsi"/>
                <w:color w:val="auto"/>
              </w:rPr>
            </w:pPr>
            <w:r>
              <w:rPr>
                <w:rFonts w:asciiTheme="minorHAnsi" w:hAnsiTheme="minorHAnsi" w:cstheme="minorHAnsi"/>
                <w:color w:val="auto"/>
              </w:rPr>
              <w:t>(Part 2: 8.4 and 18.7 and Part 4: 7.6 and 18.5)</w:t>
            </w:r>
          </w:p>
        </w:tc>
        <w:tc>
          <w:tcPr>
            <w:tcW w:w="5030" w:type="dxa"/>
            <w:tcBorders>
              <w:top w:val="single" w:sz="4" w:space="0" w:color="auto"/>
              <w:left w:val="single" w:sz="4" w:space="0" w:color="auto"/>
              <w:bottom w:val="single" w:sz="4" w:space="0" w:color="auto"/>
              <w:right w:val="single" w:sz="4" w:space="0" w:color="auto"/>
            </w:tcBorders>
          </w:tcPr>
          <w:p w:rsidR="003E1092" w:rsidRDefault="001202BD" w:rsidP="001E2EF0">
            <w:pPr>
              <w:spacing w:after="0" w:line="240" w:lineRule="auto"/>
              <w:rPr>
                <w:rFonts w:cstheme="minorHAnsi"/>
                <w:sz w:val="24"/>
                <w:szCs w:val="24"/>
              </w:rPr>
            </w:pPr>
            <w:r>
              <w:rPr>
                <w:rFonts w:cstheme="minorHAnsi"/>
                <w:sz w:val="24"/>
                <w:szCs w:val="24"/>
              </w:rPr>
              <w:t xml:space="preserve">For transparency, Lifetime Care has included the provision of administrative support provided by a person or team that has not been involved in the decision that is the subject of the dispute. This is Lifetime Care’s current practice however has not previously been stated in the Guidelines. </w:t>
            </w:r>
          </w:p>
          <w:p w:rsidR="001202BD" w:rsidRPr="003E1092" w:rsidRDefault="001202BD" w:rsidP="001E2EF0">
            <w:pPr>
              <w:spacing w:after="0" w:line="240" w:lineRule="auto"/>
              <w:rPr>
                <w:rFonts w:cstheme="minorHAnsi"/>
                <w:sz w:val="24"/>
                <w:szCs w:val="24"/>
              </w:rPr>
            </w:pPr>
          </w:p>
        </w:tc>
      </w:tr>
    </w:tbl>
    <w:p w:rsidR="00D15925" w:rsidRPr="00717B48" w:rsidRDefault="00D15925" w:rsidP="008B3F90">
      <w:pPr>
        <w:spacing w:after="0" w:line="240" w:lineRule="auto"/>
        <w:rPr>
          <w:rFonts w:cstheme="minorHAnsi"/>
          <w:sz w:val="24"/>
          <w:szCs w:val="24"/>
        </w:rPr>
      </w:pPr>
    </w:p>
    <w:p w:rsidR="00E6329D" w:rsidRPr="00717B48" w:rsidRDefault="00DE4623" w:rsidP="00420787">
      <w:pPr>
        <w:rPr>
          <w:rFonts w:cstheme="minorHAnsi"/>
          <w:b/>
          <w:sz w:val="24"/>
          <w:szCs w:val="24"/>
        </w:rPr>
      </w:pPr>
      <w:r w:rsidRPr="00717B48">
        <w:rPr>
          <w:rFonts w:cstheme="minorHAnsi"/>
          <w:b/>
          <w:sz w:val="24"/>
          <w:szCs w:val="24"/>
        </w:rPr>
        <w:t xml:space="preserve">Part </w:t>
      </w:r>
      <w:r w:rsidR="003E1092">
        <w:rPr>
          <w:rFonts w:cstheme="minorHAnsi"/>
          <w:b/>
          <w:sz w:val="24"/>
          <w:szCs w:val="24"/>
        </w:rPr>
        <w:t>X</w:t>
      </w:r>
      <w:r w:rsidRPr="00717B48">
        <w:rPr>
          <w:rFonts w:cstheme="minorHAnsi"/>
          <w:b/>
          <w:sz w:val="24"/>
          <w:szCs w:val="24"/>
        </w:rPr>
        <w:t>: Payment of travel 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6"/>
        <w:gridCol w:w="5030"/>
      </w:tblGrid>
      <w:tr w:rsidR="00DE4623" w:rsidRPr="00717B48" w:rsidTr="00551B89">
        <w:tc>
          <w:tcPr>
            <w:tcW w:w="3986" w:type="dxa"/>
            <w:tcBorders>
              <w:top w:val="single" w:sz="4" w:space="0" w:color="auto"/>
              <w:left w:val="single" w:sz="4" w:space="0" w:color="auto"/>
              <w:bottom w:val="single" w:sz="4" w:space="0" w:color="auto"/>
              <w:right w:val="single" w:sz="4" w:space="0" w:color="auto"/>
            </w:tcBorders>
            <w:hideMark/>
          </w:tcPr>
          <w:p w:rsidR="00DE4623" w:rsidRPr="00717B48" w:rsidRDefault="00DE4623" w:rsidP="008B3F90">
            <w:pPr>
              <w:spacing w:after="0" w:line="240" w:lineRule="auto"/>
              <w:rPr>
                <w:rFonts w:cstheme="minorHAnsi"/>
                <w:sz w:val="24"/>
                <w:szCs w:val="24"/>
              </w:rPr>
            </w:pPr>
            <w:r w:rsidRPr="00717B48">
              <w:rPr>
                <w:rFonts w:cstheme="minorHAnsi"/>
                <w:b/>
                <w:sz w:val="24"/>
                <w:szCs w:val="24"/>
              </w:rPr>
              <w:t>Sections and headings</w:t>
            </w:r>
          </w:p>
        </w:tc>
        <w:tc>
          <w:tcPr>
            <w:tcW w:w="5030" w:type="dxa"/>
            <w:tcBorders>
              <w:top w:val="single" w:sz="4" w:space="0" w:color="auto"/>
              <w:left w:val="single" w:sz="4" w:space="0" w:color="auto"/>
              <w:bottom w:val="single" w:sz="4" w:space="0" w:color="auto"/>
              <w:right w:val="single" w:sz="4" w:space="0" w:color="auto"/>
            </w:tcBorders>
          </w:tcPr>
          <w:p w:rsidR="00DE4623" w:rsidRPr="00717B48" w:rsidRDefault="00DE4623" w:rsidP="008B3F90">
            <w:pPr>
              <w:spacing w:after="0" w:line="240" w:lineRule="auto"/>
              <w:rPr>
                <w:rFonts w:cstheme="minorHAnsi"/>
                <w:b/>
                <w:sz w:val="24"/>
                <w:szCs w:val="24"/>
              </w:rPr>
            </w:pPr>
            <w:r w:rsidRPr="00717B48">
              <w:rPr>
                <w:rFonts w:cstheme="minorHAnsi"/>
                <w:b/>
                <w:sz w:val="24"/>
                <w:szCs w:val="24"/>
              </w:rPr>
              <w:t>Key Changes</w:t>
            </w:r>
          </w:p>
          <w:p w:rsidR="00DE4623" w:rsidRPr="00717B48" w:rsidRDefault="00DE4623" w:rsidP="008B3F90">
            <w:pPr>
              <w:spacing w:after="0" w:line="240" w:lineRule="auto"/>
              <w:rPr>
                <w:rFonts w:cstheme="minorHAnsi"/>
                <w:b/>
                <w:sz w:val="24"/>
                <w:szCs w:val="24"/>
              </w:rPr>
            </w:pPr>
          </w:p>
        </w:tc>
      </w:tr>
      <w:tr w:rsidR="00DE4623" w:rsidRPr="00717B48" w:rsidTr="00551B89">
        <w:tc>
          <w:tcPr>
            <w:tcW w:w="3986" w:type="dxa"/>
            <w:tcBorders>
              <w:top w:val="single" w:sz="4" w:space="0" w:color="auto"/>
              <w:left w:val="single" w:sz="4" w:space="0" w:color="auto"/>
              <w:bottom w:val="single" w:sz="4" w:space="0" w:color="auto"/>
              <w:right w:val="single" w:sz="4" w:space="0" w:color="auto"/>
            </w:tcBorders>
          </w:tcPr>
          <w:p w:rsidR="00DE4623" w:rsidRPr="00717B48" w:rsidRDefault="003252F5" w:rsidP="008B3F90">
            <w:pPr>
              <w:spacing w:after="0" w:line="240" w:lineRule="auto"/>
              <w:rPr>
                <w:rFonts w:cstheme="minorHAnsi"/>
                <w:i/>
                <w:sz w:val="24"/>
                <w:szCs w:val="24"/>
              </w:rPr>
            </w:pPr>
            <w:r w:rsidRPr="00717B48">
              <w:rPr>
                <w:rFonts w:cstheme="minorHAnsi"/>
                <w:i/>
                <w:sz w:val="24"/>
                <w:szCs w:val="24"/>
              </w:rPr>
              <w:t>Reasonable and necessary travel for or in connection with an assessed treatment and care need</w:t>
            </w:r>
          </w:p>
          <w:p w:rsidR="00DE4623" w:rsidRPr="00717B48" w:rsidRDefault="00DE4623" w:rsidP="008B3F90">
            <w:pPr>
              <w:spacing w:after="0" w:line="240" w:lineRule="auto"/>
              <w:rPr>
                <w:rFonts w:cstheme="minorHAnsi"/>
                <w:b/>
                <w:sz w:val="24"/>
                <w:szCs w:val="24"/>
              </w:rPr>
            </w:pPr>
          </w:p>
        </w:tc>
        <w:tc>
          <w:tcPr>
            <w:tcW w:w="5030" w:type="dxa"/>
            <w:tcBorders>
              <w:top w:val="single" w:sz="4" w:space="0" w:color="auto"/>
              <w:left w:val="single" w:sz="4" w:space="0" w:color="auto"/>
              <w:bottom w:val="single" w:sz="4" w:space="0" w:color="auto"/>
              <w:right w:val="single" w:sz="4" w:space="0" w:color="auto"/>
            </w:tcBorders>
          </w:tcPr>
          <w:p w:rsidR="003252F5" w:rsidRPr="00717B48" w:rsidRDefault="003252F5" w:rsidP="008B3F90">
            <w:pPr>
              <w:spacing w:after="0" w:line="240" w:lineRule="auto"/>
              <w:rPr>
                <w:rFonts w:cstheme="minorHAnsi"/>
                <w:sz w:val="24"/>
                <w:szCs w:val="24"/>
              </w:rPr>
            </w:pPr>
            <w:r w:rsidRPr="00717B48">
              <w:rPr>
                <w:rFonts w:cstheme="minorHAnsi"/>
                <w:sz w:val="24"/>
                <w:szCs w:val="24"/>
              </w:rPr>
              <w:t xml:space="preserve">This aims to clarify that Lifetime Care will fund reasonable and necessary travel for or in connection with an assessed treatment and care need. Lifetime Care has used and expanded </w:t>
            </w:r>
            <w:r w:rsidR="00361E72">
              <w:rPr>
                <w:rFonts w:cstheme="minorHAnsi"/>
                <w:sz w:val="24"/>
                <w:szCs w:val="24"/>
              </w:rPr>
              <w:t>the</w:t>
            </w:r>
            <w:r w:rsidRPr="00717B48">
              <w:rPr>
                <w:rFonts w:cstheme="minorHAnsi"/>
                <w:sz w:val="24"/>
                <w:szCs w:val="24"/>
              </w:rPr>
              <w:t xml:space="preserve"> existing Participant Travel Policy when drafting this guideline.</w:t>
            </w:r>
          </w:p>
          <w:p w:rsidR="00DE4623" w:rsidRPr="00717B48" w:rsidRDefault="003252F5" w:rsidP="008B3F90">
            <w:pPr>
              <w:spacing w:after="0" w:line="240" w:lineRule="auto"/>
              <w:rPr>
                <w:rFonts w:cstheme="minorHAnsi"/>
                <w:sz w:val="24"/>
                <w:szCs w:val="24"/>
              </w:rPr>
            </w:pPr>
            <w:r w:rsidRPr="00717B48">
              <w:rPr>
                <w:rFonts w:cstheme="minorHAnsi"/>
                <w:sz w:val="24"/>
                <w:szCs w:val="24"/>
              </w:rPr>
              <w:t xml:space="preserve"> </w:t>
            </w:r>
            <w:bookmarkStart w:id="0" w:name="_GoBack"/>
            <w:bookmarkEnd w:id="0"/>
          </w:p>
        </w:tc>
      </w:tr>
      <w:tr w:rsidR="003252F5" w:rsidRPr="00717B48" w:rsidTr="00551B89">
        <w:tc>
          <w:tcPr>
            <w:tcW w:w="3986" w:type="dxa"/>
            <w:tcBorders>
              <w:top w:val="single" w:sz="4" w:space="0" w:color="auto"/>
              <w:left w:val="single" w:sz="4" w:space="0" w:color="auto"/>
              <w:bottom w:val="single" w:sz="4" w:space="0" w:color="auto"/>
              <w:right w:val="single" w:sz="4" w:space="0" w:color="auto"/>
            </w:tcBorders>
          </w:tcPr>
          <w:p w:rsidR="003252F5" w:rsidRPr="00717B48" w:rsidRDefault="00B83EA8" w:rsidP="008B3F90">
            <w:pPr>
              <w:spacing w:after="0" w:line="240" w:lineRule="auto"/>
              <w:rPr>
                <w:rFonts w:cstheme="minorHAnsi"/>
                <w:i/>
                <w:sz w:val="24"/>
                <w:szCs w:val="24"/>
              </w:rPr>
            </w:pPr>
            <w:r w:rsidRPr="00717B48">
              <w:rPr>
                <w:rFonts w:cstheme="minorHAnsi"/>
                <w:i/>
                <w:sz w:val="24"/>
                <w:szCs w:val="24"/>
              </w:rPr>
              <w:t>Rate of reimbursement</w:t>
            </w:r>
          </w:p>
        </w:tc>
        <w:tc>
          <w:tcPr>
            <w:tcW w:w="5030" w:type="dxa"/>
            <w:tcBorders>
              <w:top w:val="single" w:sz="4" w:space="0" w:color="auto"/>
              <w:left w:val="single" w:sz="4" w:space="0" w:color="auto"/>
              <w:bottom w:val="single" w:sz="4" w:space="0" w:color="auto"/>
              <w:right w:val="single" w:sz="4" w:space="0" w:color="auto"/>
            </w:tcBorders>
          </w:tcPr>
          <w:p w:rsidR="003252F5" w:rsidRPr="00717B48" w:rsidRDefault="00B83EA8" w:rsidP="008B3F90">
            <w:pPr>
              <w:spacing w:after="0" w:line="240" w:lineRule="auto"/>
              <w:rPr>
                <w:rFonts w:ascii="Calibri" w:hAnsi="Calibri" w:cs="Arial"/>
                <w:sz w:val="24"/>
                <w:szCs w:val="24"/>
              </w:rPr>
            </w:pPr>
            <w:r w:rsidRPr="00717B48">
              <w:rPr>
                <w:rFonts w:ascii="Calibri" w:hAnsi="Calibri" w:cs="Arial"/>
                <w:sz w:val="24"/>
                <w:szCs w:val="24"/>
              </w:rPr>
              <w:t xml:space="preserve">Lifetime Care will apply the </w:t>
            </w:r>
            <w:r w:rsidR="003252F5" w:rsidRPr="00717B48">
              <w:rPr>
                <w:rFonts w:ascii="Calibri" w:hAnsi="Calibri" w:cs="Arial"/>
                <w:i/>
                <w:sz w:val="24"/>
                <w:szCs w:val="24"/>
              </w:rPr>
              <w:t>Motor Accidents Compensation Regulation</w:t>
            </w:r>
            <w:r w:rsidRPr="00717B48">
              <w:rPr>
                <w:rFonts w:ascii="Calibri" w:hAnsi="Calibri" w:cs="Arial"/>
                <w:i/>
                <w:sz w:val="24"/>
                <w:szCs w:val="24"/>
              </w:rPr>
              <w:t xml:space="preserve"> 2015</w:t>
            </w:r>
            <w:r w:rsidR="003252F5" w:rsidRPr="00717B48">
              <w:rPr>
                <w:rFonts w:ascii="Calibri" w:hAnsi="Calibri" w:cs="Arial"/>
                <w:sz w:val="24"/>
                <w:szCs w:val="24"/>
              </w:rPr>
              <w:t xml:space="preserve"> </w:t>
            </w:r>
            <w:r w:rsidR="0094376A" w:rsidRPr="00717B48">
              <w:rPr>
                <w:rFonts w:ascii="Calibri" w:hAnsi="Calibri" w:cs="Arial"/>
                <w:sz w:val="24"/>
                <w:szCs w:val="24"/>
              </w:rPr>
              <w:t>to rates of reimbursement, which is $0.55 per kilometre.</w:t>
            </w:r>
          </w:p>
          <w:p w:rsidR="003252F5" w:rsidRPr="00717B48" w:rsidRDefault="0094376A" w:rsidP="008B3F90">
            <w:pPr>
              <w:spacing w:after="0" w:line="240" w:lineRule="auto"/>
              <w:rPr>
                <w:rFonts w:ascii="Calibri" w:hAnsi="Calibri" w:cs="Arial"/>
                <w:sz w:val="24"/>
                <w:szCs w:val="24"/>
              </w:rPr>
            </w:pPr>
            <w:r w:rsidRPr="00717B48">
              <w:rPr>
                <w:rFonts w:ascii="Calibri" w:hAnsi="Calibri" w:cs="Arial"/>
                <w:sz w:val="24"/>
                <w:szCs w:val="24"/>
              </w:rPr>
              <w:lastRenderedPageBreak/>
              <w:t>Lifetime Care had previously adopted the earlier version of the same regulation.</w:t>
            </w:r>
          </w:p>
          <w:p w:rsidR="00717B48" w:rsidRPr="00717B48" w:rsidRDefault="00717B48" w:rsidP="008B3F90">
            <w:pPr>
              <w:spacing w:after="0" w:line="240" w:lineRule="auto"/>
              <w:rPr>
                <w:rFonts w:cstheme="minorHAnsi"/>
                <w:sz w:val="24"/>
                <w:szCs w:val="24"/>
              </w:rPr>
            </w:pPr>
          </w:p>
        </w:tc>
      </w:tr>
      <w:tr w:rsidR="00B83EA8" w:rsidRPr="00717B48" w:rsidTr="00551B89">
        <w:tc>
          <w:tcPr>
            <w:tcW w:w="3986" w:type="dxa"/>
            <w:tcBorders>
              <w:top w:val="single" w:sz="4" w:space="0" w:color="auto"/>
              <w:left w:val="single" w:sz="4" w:space="0" w:color="auto"/>
              <w:bottom w:val="single" w:sz="4" w:space="0" w:color="auto"/>
              <w:right w:val="single" w:sz="4" w:space="0" w:color="auto"/>
            </w:tcBorders>
          </w:tcPr>
          <w:p w:rsidR="00B83EA8" w:rsidRPr="00717B48" w:rsidRDefault="00B83EA8" w:rsidP="008B3F90">
            <w:pPr>
              <w:widowControl w:val="0"/>
              <w:autoSpaceDE w:val="0"/>
              <w:autoSpaceDN w:val="0"/>
              <w:adjustRightInd w:val="0"/>
              <w:spacing w:after="0" w:line="240" w:lineRule="auto"/>
              <w:rPr>
                <w:rFonts w:eastAsia="Times New Roman" w:cs="Calibri"/>
                <w:i/>
                <w:color w:val="000000"/>
                <w:sz w:val="24"/>
                <w:szCs w:val="24"/>
                <w:lang w:eastAsia="en-AU"/>
              </w:rPr>
            </w:pPr>
            <w:r w:rsidRPr="00717B48">
              <w:rPr>
                <w:rFonts w:eastAsia="Times New Roman" w:cs="Calibri"/>
                <w:i/>
                <w:color w:val="000000"/>
                <w:sz w:val="24"/>
                <w:szCs w:val="24"/>
                <w:lang w:eastAsia="en-AU"/>
              </w:rPr>
              <w:lastRenderedPageBreak/>
              <w:t>Special circumstances relating to reimbursement of travel expenses to a family member or friend assisting a participant to attend an appointment</w:t>
            </w:r>
          </w:p>
          <w:p w:rsidR="00B83EA8" w:rsidRPr="00717B48" w:rsidRDefault="00B83EA8" w:rsidP="008B3F90">
            <w:pPr>
              <w:widowControl w:val="0"/>
              <w:autoSpaceDE w:val="0"/>
              <w:autoSpaceDN w:val="0"/>
              <w:adjustRightInd w:val="0"/>
              <w:spacing w:after="0" w:line="240" w:lineRule="auto"/>
              <w:rPr>
                <w:rFonts w:eastAsia="Times New Roman" w:cs="Calibri"/>
                <w:color w:val="000000"/>
                <w:sz w:val="24"/>
                <w:szCs w:val="24"/>
                <w:lang w:eastAsia="en-AU"/>
              </w:rPr>
            </w:pPr>
          </w:p>
          <w:p w:rsidR="00B83EA8" w:rsidRPr="00717B48" w:rsidRDefault="00B83EA8" w:rsidP="008B3F90">
            <w:pPr>
              <w:spacing w:after="0" w:line="240" w:lineRule="auto"/>
              <w:rPr>
                <w:rFonts w:cstheme="minorHAnsi"/>
                <w:i/>
                <w:sz w:val="24"/>
                <w:szCs w:val="24"/>
              </w:rPr>
            </w:pPr>
          </w:p>
        </w:tc>
        <w:tc>
          <w:tcPr>
            <w:tcW w:w="5030" w:type="dxa"/>
            <w:tcBorders>
              <w:top w:val="single" w:sz="4" w:space="0" w:color="auto"/>
              <w:left w:val="single" w:sz="4" w:space="0" w:color="auto"/>
              <w:bottom w:val="single" w:sz="4" w:space="0" w:color="auto"/>
              <w:right w:val="single" w:sz="4" w:space="0" w:color="auto"/>
            </w:tcBorders>
          </w:tcPr>
          <w:p w:rsidR="00B83EA8" w:rsidRPr="00717B48" w:rsidRDefault="00B83EA8" w:rsidP="008B3F90">
            <w:pPr>
              <w:spacing w:after="0" w:line="240" w:lineRule="auto"/>
              <w:rPr>
                <w:rFonts w:cstheme="minorHAnsi"/>
                <w:sz w:val="24"/>
                <w:szCs w:val="24"/>
              </w:rPr>
            </w:pPr>
            <w:r w:rsidRPr="00717B48">
              <w:rPr>
                <w:rFonts w:cstheme="minorHAnsi"/>
                <w:sz w:val="24"/>
                <w:szCs w:val="24"/>
              </w:rPr>
              <w:t xml:space="preserve">Lifetime Care recognises that in some special circumstances, it is appropriate to reimburse a person </w:t>
            </w:r>
            <w:r w:rsidR="00845A93">
              <w:rPr>
                <w:rFonts w:cstheme="minorHAnsi"/>
                <w:sz w:val="24"/>
                <w:szCs w:val="24"/>
              </w:rPr>
              <w:t xml:space="preserve">(such as a family member) </w:t>
            </w:r>
            <w:r w:rsidRPr="00717B48">
              <w:rPr>
                <w:rFonts w:cstheme="minorHAnsi"/>
                <w:sz w:val="24"/>
                <w:szCs w:val="24"/>
              </w:rPr>
              <w:t xml:space="preserve">who assists a participant to attend a medical appointment. These provisions in the draft guideline aim to explain when this would be </w:t>
            </w:r>
            <w:r w:rsidR="00845A93">
              <w:rPr>
                <w:rFonts w:cstheme="minorHAnsi"/>
                <w:sz w:val="24"/>
                <w:szCs w:val="24"/>
              </w:rPr>
              <w:t xml:space="preserve">considered to be </w:t>
            </w:r>
            <w:r w:rsidRPr="00717B48">
              <w:rPr>
                <w:rFonts w:cstheme="minorHAnsi"/>
                <w:sz w:val="24"/>
                <w:szCs w:val="24"/>
              </w:rPr>
              <w:t xml:space="preserve">appropriate </w:t>
            </w:r>
            <w:r w:rsidR="00845A93">
              <w:rPr>
                <w:rFonts w:cstheme="minorHAnsi"/>
                <w:sz w:val="24"/>
                <w:szCs w:val="24"/>
              </w:rPr>
              <w:t xml:space="preserve">by Lifetime Care, </w:t>
            </w:r>
            <w:r w:rsidRPr="00717B48">
              <w:rPr>
                <w:rFonts w:cstheme="minorHAnsi"/>
                <w:sz w:val="24"/>
                <w:szCs w:val="24"/>
              </w:rPr>
              <w:t>and the conditions that</w:t>
            </w:r>
            <w:r w:rsidR="004A386F">
              <w:rPr>
                <w:rFonts w:cstheme="minorHAnsi"/>
                <w:sz w:val="24"/>
                <w:szCs w:val="24"/>
              </w:rPr>
              <w:t xml:space="preserve"> would</w:t>
            </w:r>
            <w:r w:rsidRPr="00717B48">
              <w:rPr>
                <w:rFonts w:cstheme="minorHAnsi"/>
                <w:sz w:val="24"/>
                <w:szCs w:val="24"/>
              </w:rPr>
              <w:t xml:space="preserve"> apply</w:t>
            </w:r>
            <w:r w:rsidR="008B3F90" w:rsidRPr="00717B48">
              <w:rPr>
                <w:rFonts w:cstheme="minorHAnsi"/>
                <w:sz w:val="24"/>
                <w:szCs w:val="24"/>
              </w:rPr>
              <w:t xml:space="preserve"> in order for reimbursement to be made</w:t>
            </w:r>
            <w:r w:rsidRPr="00717B48">
              <w:rPr>
                <w:rFonts w:cstheme="minorHAnsi"/>
                <w:sz w:val="24"/>
                <w:szCs w:val="24"/>
              </w:rPr>
              <w:t>.</w:t>
            </w:r>
          </w:p>
          <w:p w:rsidR="00B83EA8" w:rsidRPr="00717B48" w:rsidRDefault="00B83EA8" w:rsidP="008B3F90">
            <w:pPr>
              <w:spacing w:after="0" w:line="240" w:lineRule="auto"/>
              <w:rPr>
                <w:rFonts w:cstheme="minorHAnsi"/>
                <w:sz w:val="24"/>
                <w:szCs w:val="24"/>
              </w:rPr>
            </w:pPr>
          </w:p>
        </w:tc>
      </w:tr>
    </w:tbl>
    <w:p w:rsidR="00E6329D" w:rsidRPr="00717B48" w:rsidRDefault="00E6329D" w:rsidP="008B3F90">
      <w:pPr>
        <w:spacing w:after="0" w:line="240" w:lineRule="auto"/>
        <w:rPr>
          <w:rFonts w:cstheme="minorHAnsi"/>
          <w:sz w:val="24"/>
          <w:szCs w:val="24"/>
        </w:rPr>
      </w:pPr>
    </w:p>
    <w:p w:rsidR="000B364D" w:rsidRPr="00717B48" w:rsidRDefault="000B364D" w:rsidP="008B3F90">
      <w:pPr>
        <w:spacing w:after="0" w:line="240" w:lineRule="auto"/>
        <w:rPr>
          <w:rFonts w:cstheme="minorHAnsi"/>
          <w:sz w:val="24"/>
          <w:szCs w:val="24"/>
        </w:rPr>
      </w:pPr>
    </w:p>
    <w:p w:rsidR="000B364D" w:rsidRPr="00717B48" w:rsidRDefault="000B364D" w:rsidP="008B3F90">
      <w:pPr>
        <w:spacing w:after="0" w:line="240" w:lineRule="auto"/>
        <w:rPr>
          <w:rFonts w:cstheme="minorHAnsi"/>
          <w:sz w:val="24"/>
          <w:szCs w:val="24"/>
        </w:rPr>
      </w:pPr>
    </w:p>
    <w:p w:rsidR="000B364D" w:rsidRPr="00717B48" w:rsidRDefault="000B364D" w:rsidP="008B3F90">
      <w:pPr>
        <w:spacing w:after="0" w:line="240" w:lineRule="auto"/>
        <w:rPr>
          <w:rFonts w:cstheme="minorHAnsi"/>
          <w:sz w:val="24"/>
          <w:szCs w:val="24"/>
        </w:rPr>
      </w:pPr>
    </w:p>
    <w:sectPr w:rsidR="000B364D" w:rsidRPr="00717B48" w:rsidSect="00E93501">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9B5" w:rsidRDefault="009B59B5" w:rsidP="00E93501">
      <w:pPr>
        <w:spacing w:after="0" w:line="240" w:lineRule="auto"/>
      </w:pPr>
      <w:r>
        <w:separator/>
      </w:r>
    </w:p>
  </w:endnote>
  <w:endnote w:type="continuationSeparator" w:id="0">
    <w:p w:rsidR="009B59B5" w:rsidRDefault="009B59B5" w:rsidP="00E93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9B5" w:rsidRDefault="009B59B5" w:rsidP="00E93501">
      <w:pPr>
        <w:spacing w:after="0" w:line="240" w:lineRule="auto"/>
      </w:pPr>
      <w:r>
        <w:separator/>
      </w:r>
    </w:p>
  </w:footnote>
  <w:footnote w:type="continuationSeparator" w:id="0">
    <w:p w:rsidR="009B59B5" w:rsidRDefault="009B59B5" w:rsidP="00E93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501" w:rsidRDefault="00E93501">
    <w:pPr>
      <w:pStyle w:val="Header"/>
    </w:pPr>
    <w:r w:rsidRPr="00DD5228">
      <w:rPr>
        <w:noProof/>
        <w:lang w:eastAsia="en-AU"/>
      </w:rPr>
      <w:drawing>
        <wp:inline distT="0" distB="0" distL="0" distR="0" wp14:anchorId="2D5EFED3" wp14:editId="49376CE4">
          <wp:extent cx="32194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9450" cy="933450"/>
                  </a:xfrm>
                  <a:prstGeom prst="rect">
                    <a:avLst/>
                  </a:prstGeom>
                  <a:noFill/>
                  <a:ln>
                    <a:noFill/>
                  </a:ln>
                </pic:spPr>
              </pic:pic>
            </a:graphicData>
          </a:graphic>
        </wp:inline>
      </w:drawing>
    </w:r>
  </w:p>
  <w:p w:rsidR="00136E5E" w:rsidRDefault="00136E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50970"/>
    <w:multiLevelType w:val="hybridMultilevel"/>
    <w:tmpl w:val="69ECE01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5744561"/>
    <w:multiLevelType w:val="hybridMultilevel"/>
    <w:tmpl w:val="018A8B94"/>
    <w:lvl w:ilvl="0" w:tplc="5EE02CA4">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43C"/>
    <w:rsid w:val="000032EB"/>
    <w:rsid w:val="00003627"/>
    <w:rsid w:val="00026BC7"/>
    <w:rsid w:val="000735C5"/>
    <w:rsid w:val="000B364D"/>
    <w:rsid w:val="001202BD"/>
    <w:rsid w:val="001244EF"/>
    <w:rsid w:val="00136E5E"/>
    <w:rsid w:val="00186D4D"/>
    <w:rsid w:val="001B59D1"/>
    <w:rsid w:val="001C572B"/>
    <w:rsid w:val="001E1F2C"/>
    <w:rsid w:val="001E2EF0"/>
    <w:rsid w:val="0020065B"/>
    <w:rsid w:val="00234075"/>
    <w:rsid w:val="00243845"/>
    <w:rsid w:val="00280E80"/>
    <w:rsid w:val="00282680"/>
    <w:rsid w:val="002F059F"/>
    <w:rsid w:val="00322495"/>
    <w:rsid w:val="003252F5"/>
    <w:rsid w:val="00361E72"/>
    <w:rsid w:val="0036340A"/>
    <w:rsid w:val="0037271C"/>
    <w:rsid w:val="00385601"/>
    <w:rsid w:val="00396D11"/>
    <w:rsid w:val="003C56A5"/>
    <w:rsid w:val="003E1092"/>
    <w:rsid w:val="00400B4F"/>
    <w:rsid w:val="00411302"/>
    <w:rsid w:val="004126B2"/>
    <w:rsid w:val="00415C58"/>
    <w:rsid w:val="004179B6"/>
    <w:rsid w:val="00420787"/>
    <w:rsid w:val="0042560A"/>
    <w:rsid w:val="0045753C"/>
    <w:rsid w:val="00492D29"/>
    <w:rsid w:val="004A386F"/>
    <w:rsid w:val="004A68F9"/>
    <w:rsid w:val="004B2CC5"/>
    <w:rsid w:val="005401C7"/>
    <w:rsid w:val="00542338"/>
    <w:rsid w:val="00564323"/>
    <w:rsid w:val="0057568B"/>
    <w:rsid w:val="00590383"/>
    <w:rsid w:val="005B3688"/>
    <w:rsid w:val="005F0AF4"/>
    <w:rsid w:val="00666D17"/>
    <w:rsid w:val="006E0CF6"/>
    <w:rsid w:val="00717B48"/>
    <w:rsid w:val="00723A19"/>
    <w:rsid w:val="00754D1E"/>
    <w:rsid w:val="00764909"/>
    <w:rsid w:val="007B1546"/>
    <w:rsid w:val="007D4859"/>
    <w:rsid w:val="007E6E56"/>
    <w:rsid w:val="007F4735"/>
    <w:rsid w:val="00811CEA"/>
    <w:rsid w:val="008242EB"/>
    <w:rsid w:val="00845A93"/>
    <w:rsid w:val="00886556"/>
    <w:rsid w:val="008B3F90"/>
    <w:rsid w:val="008B5C56"/>
    <w:rsid w:val="008B6FA6"/>
    <w:rsid w:val="0091192C"/>
    <w:rsid w:val="0094376A"/>
    <w:rsid w:val="00952F7A"/>
    <w:rsid w:val="009624EC"/>
    <w:rsid w:val="0099175E"/>
    <w:rsid w:val="009A0C91"/>
    <w:rsid w:val="009B59B5"/>
    <w:rsid w:val="009C0193"/>
    <w:rsid w:val="009C05FB"/>
    <w:rsid w:val="00A436CE"/>
    <w:rsid w:val="00A4378E"/>
    <w:rsid w:val="00A87DE2"/>
    <w:rsid w:val="00AA4A99"/>
    <w:rsid w:val="00AF5F21"/>
    <w:rsid w:val="00B20302"/>
    <w:rsid w:val="00B3536B"/>
    <w:rsid w:val="00B47B6B"/>
    <w:rsid w:val="00B64405"/>
    <w:rsid w:val="00B83EA8"/>
    <w:rsid w:val="00B843DA"/>
    <w:rsid w:val="00BA4418"/>
    <w:rsid w:val="00BC5134"/>
    <w:rsid w:val="00BE19C9"/>
    <w:rsid w:val="00BE7CC6"/>
    <w:rsid w:val="00CA6043"/>
    <w:rsid w:val="00D15925"/>
    <w:rsid w:val="00D42822"/>
    <w:rsid w:val="00D437D4"/>
    <w:rsid w:val="00D55C6F"/>
    <w:rsid w:val="00D72747"/>
    <w:rsid w:val="00D91978"/>
    <w:rsid w:val="00DC0B0D"/>
    <w:rsid w:val="00DC6796"/>
    <w:rsid w:val="00DE4623"/>
    <w:rsid w:val="00DE79DD"/>
    <w:rsid w:val="00E6329D"/>
    <w:rsid w:val="00E76F92"/>
    <w:rsid w:val="00E7743C"/>
    <w:rsid w:val="00E90BA1"/>
    <w:rsid w:val="00E93501"/>
    <w:rsid w:val="00EA6C68"/>
    <w:rsid w:val="00ED1764"/>
    <w:rsid w:val="00F2357B"/>
    <w:rsid w:val="00F545BC"/>
    <w:rsid w:val="00F70665"/>
    <w:rsid w:val="00FA31FF"/>
    <w:rsid w:val="00FC3AFF"/>
    <w:rsid w:val="00FE799B"/>
    <w:rsid w:val="00FF1088"/>
    <w:rsid w:val="00FF34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300753"/>
  <w15:chartTrackingRefBased/>
  <w15:docId w15:val="{284FB16D-67FD-4167-AEC1-B19CE80D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743C"/>
    <w:pPr>
      <w:widowControl w:val="0"/>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D72747"/>
    <w:rPr>
      <w:sz w:val="16"/>
      <w:szCs w:val="16"/>
    </w:rPr>
  </w:style>
  <w:style w:type="paragraph" w:styleId="CommentText">
    <w:name w:val="annotation text"/>
    <w:basedOn w:val="Normal"/>
    <w:link w:val="CommentTextChar"/>
    <w:uiPriority w:val="99"/>
    <w:semiHidden/>
    <w:unhideWhenUsed/>
    <w:rsid w:val="00D72747"/>
    <w:pPr>
      <w:spacing w:line="240" w:lineRule="auto"/>
    </w:pPr>
    <w:rPr>
      <w:sz w:val="20"/>
      <w:szCs w:val="20"/>
    </w:rPr>
  </w:style>
  <w:style w:type="character" w:customStyle="1" w:styleId="CommentTextChar">
    <w:name w:val="Comment Text Char"/>
    <w:basedOn w:val="DefaultParagraphFont"/>
    <w:link w:val="CommentText"/>
    <w:uiPriority w:val="99"/>
    <w:semiHidden/>
    <w:rsid w:val="00D72747"/>
    <w:rPr>
      <w:sz w:val="20"/>
      <w:szCs w:val="20"/>
    </w:rPr>
  </w:style>
  <w:style w:type="paragraph" w:styleId="CommentSubject">
    <w:name w:val="annotation subject"/>
    <w:basedOn w:val="CommentText"/>
    <w:next w:val="CommentText"/>
    <w:link w:val="CommentSubjectChar"/>
    <w:uiPriority w:val="99"/>
    <w:semiHidden/>
    <w:unhideWhenUsed/>
    <w:rsid w:val="00D72747"/>
    <w:rPr>
      <w:b/>
      <w:bCs/>
    </w:rPr>
  </w:style>
  <w:style w:type="character" w:customStyle="1" w:styleId="CommentSubjectChar">
    <w:name w:val="Comment Subject Char"/>
    <w:basedOn w:val="CommentTextChar"/>
    <w:link w:val="CommentSubject"/>
    <w:uiPriority w:val="99"/>
    <w:semiHidden/>
    <w:rsid w:val="00D72747"/>
    <w:rPr>
      <w:b/>
      <w:bCs/>
      <w:sz w:val="20"/>
      <w:szCs w:val="20"/>
    </w:rPr>
  </w:style>
  <w:style w:type="paragraph" w:styleId="BalloonText">
    <w:name w:val="Balloon Text"/>
    <w:basedOn w:val="Normal"/>
    <w:link w:val="BalloonTextChar"/>
    <w:uiPriority w:val="99"/>
    <w:semiHidden/>
    <w:unhideWhenUsed/>
    <w:rsid w:val="00D727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747"/>
    <w:rPr>
      <w:rFonts w:ascii="Segoe UI" w:hAnsi="Segoe UI" w:cs="Segoe UI"/>
      <w:sz w:val="18"/>
      <w:szCs w:val="18"/>
    </w:rPr>
  </w:style>
  <w:style w:type="paragraph" w:styleId="Header">
    <w:name w:val="header"/>
    <w:basedOn w:val="Normal"/>
    <w:link w:val="HeaderChar"/>
    <w:uiPriority w:val="99"/>
    <w:unhideWhenUsed/>
    <w:rsid w:val="00E935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501"/>
  </w:style>
  <w:style w:type="paragraph" w:styleId="Footer">
    <w:name w:val="footer"/>
    <w:basedOn w:val="Normal"/>
    <w:link w:val="FooterChar"/>
    <w:uiPriority w:val="99"/>
    <w:unhideWhenUsed/>
    <w:rsid w:val="00E935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76150">
      <w:bodyDiv w:val="1"/>
      <w:marLeft w:val="0"/>
      <w:marRight w:val="0"/>
      <w:marTop w:val="0"/>
      <w:marBottom w:val="0"/>
      <w:divBdr>
        <w:top w:val="none" w:sz="0" w:space="0" w:color="auto"/>
        <w:left w:val="none" w:sz="0" w:space="0" w:color="auto"/>
        <w:bottom w:val="none" w:sz="0" w:space="0" w:color="auto"/>
        <w:right w:val="none" w:sz="0" w:space="0" w:color="auto"/>
      </w:divBdr>
    </w:div>
    <w:div w:id="31307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1369</Words>
  <Characters>7806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Bain</dc:creator>
  <cp:keywords/>
  <dc:description/>
  <cp:lastModifiedBy>McConnell, Deborah</cp:lastModifiedBy>
  <cp:revision>2</cp:revision>
  <cp:lastPrinted>2018-08-13T07:02:00Z</cp:lastPrinted>
  <dcterms:created xsi:type="dcterms:W3CDTF">2018-08-13T07:26:00Z</dcterms:created>
  <dcterms:modified xsi:type="dcterms:W3CDTF">2018-08-13T07:26:00Z</dcterms:modified>
</cp:coreProperties>
</file>